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8B" w:rsidRPr="000E6B8B" w:rsidRDefault="000E6B8B" w:rsidP="000E6B8B">
      <w:pPr>
        <w:pStyle w:val="s3"/>
        <w:jc w:val="both"/>
      </w:pPr>
      <w:r w:rsidRPr="000E6B8B">
        <w:t>Письмо Минфина России от 14 февраля 2022 г. N 24-06-08/9965</w:t>
      </w:r>
      <w:r w:rsidRPr="000E6B8B">
        <w:br/>
        <w:t>"О рассмотрении обращения"</w:t>
      </w:r>
    </w:p>
    <w:p w:rsidR="000E6B8B" w:rsidRPr="000E6B8B" w:rsidRDefault="000E6B8B" w:rsidP="000E6B8B">
      <w:pPr>
        <w:pStyle w:val="s1"/>
        <w:jc w:val="both"/>
      </w:pPr>
      <w:proofErr w:type="gramStart"/>
      <w:r w:rsidRPr="000E6B8B">
        <w:t xml:space="preserve">Департамент бюджетной политики в сфере контрактной системы Минфина России (далее - Департамент), рассмотрев обращение, по вопросу о применении положений </w:t>
      </w:r>
      <w:hyperlink r:id="rId5" w:anchor="/document/70353464/entry/0" w:history="1">
        <w:r w:rsidRPr="000E6B8B">
          <w:rPr>
            <w:rStyle w:val="a5"/>
            <w:color w:val="auto"/>
            <w:u w:val="none"/>
          </w:rPr>
          <w:t>Федерального закона</w:t>
        </w:r>
      </w:hyperlink>
      <w:r w:rsidRPr="000E6B8B"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 в части определения и обоснования цены контракта при осуществлении закупки у единственного поставщика (подрядчика</w:t>
      </w:r>
      <w:proofErr w:type="gramEnd"/>
      <w:r w:rsidRPr="000E6B8B">
        <w:t>, исполнителя), сообщает следующее.</w:t>
      </w:r>
    </w:p>
    <w:p w:rsidR="000E6B8B" w:rsidRPr="000E6B8B" w:rsidRDefault="000E6B8B" w:rsidP="000E6B8B">
      <w:pPr>
        <w:pStyle w:val="s1"/>
        <w:jc w:val="both"/>
      </w:pPr>
      <w:proofErr w:type="gramStart"/>
      <w:r w:rsidRPr="000E6B8B">
        <w:t xml:space="preserve">Положениями </w:t>
      </w:r>
      <w:hyperlink r:id="rId6" w:anchor="/document/72073728/entry/11108" w:history="1">
        <w:r w:rsidRPr="000E6B8B">
          <w:rPr>
            <w:rStyle w:val="a5"/>
            <w:color w:val="auto"/>
            <w:u w:val="none"/>
          </w:rPr>
          <w:t>пунктов 11.8</w:t>
        </w:r>
      </w:hyperlink>
      <w:r w:rsidRPr="000E6B8B">
        <w:t xml:space="preserve"> и </w:t>
      </w:r>
      <w:hyperlink r:id="rId7" w:anchor="/document/72073728/entry/11205" w:history="1">
        <w:r w:rsidRPr="000E6B8B">
          <w:rPr>
            <w:rStyle w:val="a5"/>
            <w:color w:val="auto"/>
            <w:u w:val="none"/>
          </w:rPr>
          <w:t>12.5</w:t>
        </w:r>
      </w:hyperlink>
      <w:r w:rsidRPr="000E6B8B">
        <w:t xml:space="preserve"> Регламента Министерства финансов Российской Федерации, утвержденного </w:t>
      </w:r>
      <w:hyperlink r:id="rId8" w:anchor="/document/72073728/entry/0" w:history="1">
        <w:r w:rsidRPr="000E6B8B">
          <w:rPr>
            <w:rStyle w:val="a5"/>
            <w:color w:val="auto"/>
            <w:u w:val="none"/>
          </w:rPr>
          <w:t>приказом</w:t>
        </w:r>
      </w:hyperlink>
      <w:r w:rsidRPr="000E6B8B">
        <w:t xml:space="preserve"> Минфина России от 14 сентября 2018 г. N 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0E6B8B">
        <w:t xml:space="preserve"> необходимо для обоснования решения, принятого по обращению.</w:t>
      </w:r>
    </w:p>
    <w:p w:rsidR="000E6B8B" w:rsidRPr="000E6B8B" w:rsidRDefault="000E6B8B" w:rsidP="000E6B8B">
      <w:pPr>
        <w:pStyle w:val="s1"/>
        <w:jc w:val="both"/>
      </w:pPr>
      <w:r w:rsidRPr="000E6B8B">
        <w:t>Также Минфин России не обладает ни надзорными, ни контрольными функциями и (или) полномочиями в отношении осуществляемых закупок, в связи с чем,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E6B8B" w:rsidRPr="000E6B8B" w:rsidRDefault="000E6B8B" w:rsidP="000E6B8B">
      <w:pPr>
        <w:pStyle w:val="s1"/>
        <w:jc w:val="both"/>
      </w:pPr>
      <w:r w:rsidRPr="000E6B8B">
        <w:t>Вместе с тем в рамках установленной компетенции Департамент полагает возможным отметить следующее.</w:t>
      </w:r>
    </w:p>
    <w:p w:rsidR="000E6B8B" w:rsidRPr="000E6B8B" w:rsidRDefault="000E6B8B" w:rsidP="000E6B8B">
      <w:pPr>
        <w:pStyle w:val="s1"/>
        <w:jc w:val="both"/>
      </w:pPr>
      <w:r w:rsidRPr="000E6B8B">
        <w:t xml:space="preserve">Согласно </w:t>
      </w:r>
      <w:hyperlink r:id="rId9" w:anchor="/document/70353464/entry/40380" w:history="1">
        <w:r w:rsidRPr="000E6B8B">
          <w:rPr>
            <w:rStyle w:val="a5"/>
            <w:color w:val="auto"/>
            <w:u w:val="none"/>
          </w:rPr>
          <w:t>части 1 статьи 18</w:t>
        </w:r>
      </w:hyperlink>
      <w:r w:rsidRPr="000E6B8B">
        <w:t xml:space="preserve"> Закона N 44-ФЗ обоснованной признается закупка, осуществляемая в соответствии с положениями </w:t>
      </w:r>
      <w:hyperlink r:id="rId10" w:anchor="/document/70353464/entry/19" w:history="1">
        <w:r w:rsidRPr="000E6B8B">
          <w:rPr>
            <w:rStyle w:val="a5"/>
            <w:color w:val="auto"/>
            <w:u w:val="none"/>
          </w:rPr>
          <w:t>статей 19</w:t>
        </w:r>
      </w:hyperlink>
      <w:r w:rsidRPr="000E6B8B">
        <w:t xml:space="preserve"> и </w:t>
      </w:r>
      <w:hyperlink r:id="rId11" w:anchor="/document/70353464/entry/22" w:history="1">
        <w:r w:rsidRPr="000E6B8B">
          <w:rPr>
            <w:rStyle w:val="a5"/>
            <w:color w:val="auto"/>
            <w:u w:val="none"/>
          </w:rPr>
          <w:t>22</w:t>
        </w:r>
      </w:hyperlink>
      <w:r w:rsidRPr="000E6B8B">
        <w:t xml:space="preserve"> Закона N 44-ФЗ.</w:t>
      </w:r>
    </w:p>
    <w:p w:rsidR="000E6B8B" w:rsidRPr="000E6B8B" w:rsidRDefault="000E6B8B" w:rsidP="000E6B8B">
      <w:pPr>
        <w:pStyle w:val="s1"/>
        <w:jc w:val="both"/>
      </w:pPr>
      <w:r w:rsidRPr="000E6B8B">
        <w:t xml:space="preserve">Начальная (максимальная) цена контракта и в предусмотренных Законом N 44-ФЗ случаях цена контракта, заключаемого с единственным поставщиком (подрядчиком, исполнителем) (далее - НМЦК), определяются и обосновываются заказчиком посредством применения методов, перечисленных в </w:t>
      </w:r>
      <w:hyperlink r:id="rId12" w:anchor="/document/70353464/entry/221" w:history="1">
        <w:r w:rsidRPr="000E6B8B">
          <w:rPr>
            <w:rStyle w:val="a5"/>
            <w:color w:val="auto"/>
            <w:u w:val="none"/>
          </w:rPr>
          <w:t>части 1 статьи 22</w:t>
        </w:r>
      </w:hyperlink>
      <w:r w:rsidRPr="000E6B8B">
        <w:t xml:space="preserve"> Закона N 44-ФЗ.</w:t>
      </w:r>
    </w:p>
    <w:p w:rsidR="000E6B8B" w:rsidRPr="000E6B8B" w:rsidRDefault="000E6B8B" w:rsidP="000E6B8B">
      <w:pPr>
        <w:pStyle w:val="s1"/>
        <w:jc w:val="both"/>
      </w:pPr>
      <w:r w:rsidRPr="000E6B8B">
        <w:t xml:space="preserve">При этом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</w:t>
      </w:r>
      <w:hyperlink r:id="rId13" w:anchor="/document/70353464/entry/227" w:history="1">
        <w:r w:rsidRPr="000E6B8B">
          <w:rPr>
            <w:rStyle w:val="a5"/>
            <w:color w:val="auto"/>
            <w:u w:val="none"/>
          </w:rPr>
          <w:t>частями 7 - 11</w:t>
        </w:r>
      </w:hyperlink>
      <w:r w:rsidRPr="000E6B8B">
        <w:t xml:space="preserve"> указанной статьи (</w:t>
      </w:r>
      <w:hyperlink r:id="rId14" w:anchor="/document/70353464/entry/226" w:history="1">
        <w:r w:rsidRPr="000E6B8B">
          <w:rPr>
            <w:rStyle w:val="a5"/>
            <w:color w:val="auto"/>
            <w:u w:val="none"/>
          </w:rPr>
          <w:t>часть 6 статьи 22</w:t>
        </w:r>
      </w:hyperlink>
      <w:r w:rsidRPr="000E6B8B">
        <w:t xml:space="preserve"> Закона N 44-ФЗ).</w:t>
      </w:r>
    </w:p>
    <w:p w:rsidR="000E6B8B" w:rsidRPr="000E6B8B" w:rsidRDefault="000E6B8B" w:rsidP="000E6B8B">
      <w:pPr>
        <w:pStyle w:val="s1"/>
        <w:jc w:val="both"/>
      </w:pPr>
      <w:r w:rsidRPr="000E6B8B">
        <w:t xml:space="preserve">В случае невозможности применения для определения НМЦК методов, указанных в </w:t>
      </w:r>
      <w:hyperlink r:id="rId15" w:anchor="/document/70353464/entry/221" w:history="1">
        <w:r w:rsidRPr="000E6B8B">
          <w:rPr>
            <w:rStyle w:val="a5"/>
            <w:color w:val="auto"/>
            <w:u w:val="none"/>
          </w:rPr>
          <w:t>части 1 статьи 22</w:t>
        </w:r>
      </w:hyperlink>
      <w:r w:rsidRPr="000E6B8B">
        <w:t xml:space="preserve"> Закона N 44-ФЗ,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 (</w:t>
      </w:r>
      <w:hyperlink r:id="rId16" w:anchor="/document/70353464/entry/22120" w:history="1">
        <w:r w:rsidRPr="000E6B8B">
          <w:rPr>
            <w:rStyle w:val="a5"/>
            <w:color w:val="auto"/>
            <w:u w:val="none"/>
          </w:rPr>
          <w:t>часть 12 статьи 22</w:t>
        </w:r>
      </w:hyperlink>
      <w:r w:rsidRPr="000E6B8B">
        <w:t xml:space="preserve"> Закона N 44-ФЗ).</w:t>
      </w:r>
    </w:p>
    <w:p w:rsidR="000E6B8B" w:rsidRPr="000E6B8B" w:rsidRDefault="000E6B8B" w:rsidP="000E6B8B">
      <w:pPr>
        <w:pStyle w:val="s1"/>
        <w:jc w:val="both"/>
      </w:pPr>
      <w:r w:rsidRPr="000E6B8B">
        <w:t>Применение иных методов для расчета НМЦК не должно противоречить положениям законодательства в сфере контрактной системы.</w:t>
      </w:r>
    </w:p>
    <w:p w:rsidR="000E6B8B" w:rsidRPr="000E6B8B" w:rsidRDefault="000E6B8B" w:rsidP="000E6B8B">
      <w:pPr>
        <w:pStyle w:val="s1"/>
        <w:jc w:val="both"/>
      </w:pPr>
      <w:r w:rsidRPr="000E6B8B">
        <w:t xml:space="preserve">Согласно </w:t>
      </w:r>
      <w:hyperlink r:id="rId17" w:anchor="/document/70353464/entry/934" w:history="1">
        <w:r w:rsidRPr="000E6B8B">
          <w:rPr>
            <w:rStyle w:val="a5"/>
            <w:color w:val="auto"/>
            <w:u w:val="none"/>
          </w:rPr>
          <w:t>части 4 статьи 93</w:t>
        </w:r>
      </w:hyperlink>
      <w:r w:rsidRPr="000E6B8B">
        <w:t xml:space="preserve"> Закона N 44-ФЗ при осуществлении закупки у единственного поставщика (подрядчика, исполнителя) заказчик определяет НМЦК в соответствии с Законом N 44-ФЗ. При этом в случаях, предусмотренных </w:t>
      </w:r>
      <w:hyperlink r:id="rId18" w:anchor="/document/70353464/entry/9313" w:history="1">
        <w:r w:rsidRPr="000E6B8B">
          <w:rPr>
            <w:rStyle w:val="a5"/>
            <w:color w:val="auto"/>
            <w:u w:val="none"/>
          </w:rPr>
          <w:t>пунктами 3</w:t>
        </w:r>
      </w:hyperlink>
      <w:r w:rsidRPr="000E6B8B">
        <w:t xml:space="preserve">, </w:t>
      </w:r>
      <w:hyperlink r:id="rId19" w:anchor="/document/70353464/entry/9316" w:history="1">
        <w:r w:rsidRPr="000E6B8B">
          <w:rPr>
            <w:rStyle w:val="a5"/>
            <w:color w:val="auto"/>
            <w:u w:val="none"/>
          </w:rPr>
          <w:t>6</w:t>
        </w:r>
      </w:hyperlink>
      <w:r w:rsidRPr="000E6B8B">
        <w:t xml:space="preserve">, </w:t>
      </w:r>
      <w:hyperlink r:id="rId20" w:anchor="/document/70353464/entry/93111" w:history="1">
        <w:r w:rsidRPr="000E6B8B">
          <w:rPr>
            <w:rStyle w:val="a5"/>
            <w:color w:val="auto"/>
            <w:u w:val="none"/>
          </w:rPr>
          <w:t>11</w:t>
        </w:r>
      </w:hyperlink>
      <w:r w:rsidRPr="000E6B8B">
        <w:t xml:space="preserve">, </w:t>
      </w:r>
      <w:hyperlink r:id="rId21" w:anchor="/document/70353464/entry/93112" w:history="1">
        <w:r w:rsidRPr="000E6B8B">
          <w:rPr>
            <w:rStyle w:val="a5"/>
            <w:color w:val="auto"/>
            <w:u w:val="none"/>
          </w:rPr>
          <w:t>12</w:t>
        </w:r>
      </w:hyperlink>
      <w:r w:rsidRPr="000E6B8B">
        <w:t xml:space="preserve">, </w:t>
      </w:r>
      <w:hyperlink r:id="rId22" w:anchor="/document/70353464/entry/93116" w:history="1">
        <w:r w:rsidRPr="000E6B8B">
          <w:rPr>
            <w:rStyle w:val="a5"/>
            <w:color w:val="auto"/>
            <w:u w:val="none"/>
          </w:rPr>
          <w:t>16</w:t>
        </w:r>
      </w:hyperlink>
      <w:r w:rsidRPr="000E6B8B">
        <w:t xml:space="preserve">, </w:t>
      </w:r>
      <w:hyperlink r:id="rId23" w:anchor="/document/70353464/entry/93118" w:history="1">
        <w:r w:rsidRPr="000E6B8B">
          <w:rPr>
            <w:rStyle w:val="a5"/>
            <w:color w:val="auto"/>
            <w:u w:val="none"/>
          </w:rPr>
          <w:t>18</w:t>
        </w:r>
      </w:hyperlink>
      <w:r w:rsidRPr="000E6B8B">
        <w:t xml:space="preserve">, </w:t>
      </w:r>
      <w:hyperlink r:id="rId24" w:anchor="/document/70353464/entry/93119" w:history="1">
        <w:r w:rsidRPr="000E6B8B">
          <w:rPr>
            <w:rStyle w:val="a5"/>
            <w:color w:val="auto"/>
            <w:u w:val="none"/>
          </w:rPr>
          <w:t>19</w:t>
        </w:r>
      </w:hyperlink>
      <w:r w:rsidRPr="000E6B8B">
        <w:t xml:space="preserve">, </w:t>
      </w:r>
      <w:hyperlink r:id="rId25" w:anchor="/document/70353464/entry/93122" w:history="1">
        <w:r w:rsidRPr="000E6B8B">
          <w:rPr>
            <w:rStyle w:val="a5"/>
            <w:color w:val="auto"/>
            <w:u w:val="none"/>
          </w:rPr>
          <w:t>22</w:t>
        </w:r>
      </w:hyperlink>
      <w:r w:rsidRPr="000E6B8B">
        <w:t xml:space="preserve">, </w:t>
      </w:r>
      <w:hyperlink r:id="rId26" w:anchor="/document/70353464/entry/93123" w:history="1">
        <w:r w:rsidRPr="000E6B8B">
          <w:rPr>
            <w:rStyle w:val="a5"/>
            <w:color w:val="auto"/>
            <w:u w:val="none"/>
          </w:rPr>
          <w:t>23</w:t>
        </w:r>
      </w:hyperlink>
      <w:r w:rsidRPr="000E6B8B">
        <w:t xml:space="preserve">, </w:t>
      </w:r>
      <w:hyperlink r:id="rId27" w:anchor="/document/70353464/entry/93130" w:history="1">
        <w:r w:rsidRPr="000E6B8B">
          <w:rPr>
            <w:rStyle w:val="a5"/>
            <w:color w:val="auto"/>
            <w:u w:val="none"/>
          </w:rPr>
          <w:t>30 - 35</w:t>
        </w:r>
      </w:hyperlink>
      <w:r w:rsidRPr="000E6B8B">
        <w:t xml:space="preserve">, </w:t>
      </w:r>
      <w:hyperlink r:id="rId28" w:anchor="/document/70353464/entry/93137" w:history="1">
        <w:r w:rsidRPr="000E6B8B">
          <w:rPr>
            <w:rStyle w:val="a5"/>
            <w:color w:val="auto"/>
            <w:u w:val="none"/>
          </w:rPr>
          <w:t xml:space="preserve">37 </w:t>
        </w:r>
        <w:r w:rsidRPr="000E6B8B">
          <w:rPr>
            <w:rStyle w:val="a5"/>
            <w:color w:val="auto"/>
            <w:u w:val="none"/>
          </w:rPr>
          <w:lastRenderedPageBreak/>
          <w:t>- 41</w:t>
        </w:r>
      </w:hyperlink>
      <w:r w:rsidRPr="000E6B8B">
        <w:t xml:space="preserve">, </w:t>
      </w:r>
      <w:hyperlink r:id="rId29" w:anchor="/document/70353464/entry/93146" w:history="1">
        <w:r w:rsidRPr="000E6B8B">
          <w:rPr>
            <w:rStyle w:val="a5"/>
            <w:color w:val="auto"/>
            <w:u w:val="none"/>
          </w:rPr>
          <w:t>46</w:t>
        </w:r>
      </w:hyperlink>
      <w:r w:rsidRPr="000E6B8B">
        <w:t xml:space="preserve"> и </w:t>
      </w:r>
      <w:hyperlink r:id="rId30" w:anchor="/document/70353464/entry/93149" w:history="1">
        <w:r w:rsidRPr="000E6B8B">
          <w:rPr>
            <w:rStyle w:val="a5"/>
            <w:color w:val="auto"/>
            <w:u w:val="none"/>
          </w:rPr>
          <w:t>49 части 1 статьи 93</w:t>
        </w:r>
      </w:hyperlink>
      <w:r w:rsidRPr="000E6B8B">
        <w:t xml:space="preserve"> Закона N 44-ФЗ, заказчик обосновывает такую цену в соответствии с указанным Федеральным законом и включает в контракт обоснование цены контракта.</w:t>
      </w:r>
    </w:p>
    <w:p w:rsidR="000E6B8B" w:rsidRPr="000E6B8B" w:rsidRDefault="000E6B8B" w:rsidP="000E6B8B">
      <w:pPr>
        <w:pStyle w:val="s1"/>
        <w:jc w:val="both"/>
      </w:pPr>
      <w:hyperlink r:id="rId31" w:anchor="/document/70353464/entry/2222" w:history="1">
        <w:proofErr w:type="gramStart"/>
        <w:r w:rsidRPr="000E6B8B">
          <w:rPr>
            <w:rStyle w:val="a5"/>
            <w:color w:val="auto"/>
            <w:u w:val="none"/>
          </w:rPr>
          <w:t>Частью 22 статьи 22</w:t>
        </w:r>
      </w:hyperlink>
      <w:r w:rsidRPr="000E6B8B">
        <w:t xml:space="preserve"> Закона N 44-ФЗ установлено право Правительства Российской Федерации определять сферы деятельности, в которых при осуществлении закупок устанавливается порядок определения НМЦК, а также федеральные органы исполнительной власти, Государственную корпорацию по атомной энергии "</w:t>
      </w:r>
      <w:proofErr w:type="spellStart"/>
      <w:r w:rsidRPr="000E6B8B">
        <w:t>Росатом</w:t>
      </w:r>
      <w:proofErr w:type="spellEnd"/>
      <w:r w:rsidRPr="000E6B8B">
        <w:t>", Государственную корпорацию по космической деятельности "</w:t>
      </w:r>
      <w:proofErr w:type="spellStart"/>
      <w:r w:rsidRPr="000E6B8B">
        <w:t>Роскосмос</w:t>
      </w:r>
      <w:proofErr w:type="spellEnd"/>
      <w:r w:rsidRPr="000E6B8B">
        <w:t>", уполномоченные устанавливать такой порядок с учетом положений Закона N 44-ФЗ.</w:t>
      </w:r>
      <w:proofErr w:type="gramEnd"/>
    </w:p>
    <w:p w:rsidR="000E6B8B" w:rsidRPr="000E6B8B" w:rsidRDefault="000E6B8B" w:rsidP="000E6B8B">
      <w:pPr>
        <w:pStyle w:val="s1"/>
        <w:jc w:val="both"/>
      </w:pPr>
      <w:proofErr w:type="gramStart"/>
      <w:r w:rsidRPr="000E6B8B">
        <w:t>Таким образом, в случае, если нормативными правовыми актами уполномоченных федеральных органов исполнительной власти, Государственной корпорации по атомной энергии "</w:t>
      </w:r>
      <w:proofErr w:type="spellStart"/>
      <w:r w:rsidRPr="000E6B8B">
        <w:t>Росатом</w:t>
      </w:r>
      <w:proofErr w:type="spellEnd"/>
      <w:r w:rsidRPr="000E6B8B">
        <w:t>", Государственной корпорации по космической деятельности "</w:t>
      </w:r>
      <w:proofErr w:type="spellStart"/>
      <w:r w:rsidRPr="000E6B8B">
        <w:t>Роскосмос</w:t>
      </w:r>
      <w:proofErr w:type="spellEnd"/>
      <w:r w:rsidRPr="000E6B8B">
        <w:t xml:space="preserve">" установлен порядок определения НМЦК в сферах деятельности, определенных Правительством Российской Федерации согласно </w:t>
      </w:r>
      <w:hyperlink r:id="rId32" w:anchor="/document/70353464/entry/2222" w:history="1">
        <w:r w:rsidRPr="000E6B8B">
          <w:rPr>
            <w:rStyle w:val="a5"/>
            <w:color w:val="auto"/>
            <w:u w:val="none"/>
          </w:rPr>
          <w:t>части 22 статьи 22</w:t>
        </w:r>
      </w:hyperlink>
      <w:r w:rsidRPr="000E6B8B">
        <w:t xml:space="preserve"> Закона N 44-ФЗ, цена контракта, заключаемого на основании </w:t>
      </w:r>
      <w:hyperlink r:id="rId33" w:anchor="/document/70353464/entry/9314" w:history="1">
        <w:r w:rsidRPr="000E6B8B">
          <w:rPr>
            <w:rStyle w:val="a5"/>
            <w:color w:val="auto"/>
            <w:u w:val="none"/>
          </w:rPr>
          <w:t>пунктов 4</w:t>
        </w:r>
      </w:hyperlink>
      <w:r w:rsidRPr="000E6B8B">
        <w:t xml:space="preserve">, </w:t>
      </w:r>
      <w:hyperlink r:id="rId34" w:anchor="/document/70353464/entry/9315" w:history="1">
        <w:r w:rsidRPr="000E6B8B">
          <w:rPr>
            <w:rStyle w:val="a5"/>
            <w:color w:val="auto"/>
            <w:u w:val="none"/>
          </w:rPr>
          <w:t>5 части 1 статьи 93</w:t>
        </w:r>
      </w:hyperlink>
      <w:r w:rsidRPr="000E6B8B">
        <w:t xml:space="preserve"> Закона N 44-ФЗ определяется</w:t>
      </w:r>
      <w:proofErr w:type="gramEnd"/>
      <w:r w:rsidRPr="000E6B8B">
        <w:t xml:space="preserve"> в соответствии с положениями соответствующих нормативных правовых актов, при этом обязанность включения в контракт обоснования такой цены отсутствует.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9"/>
        <w:gridCol w:w="3448"/>
      </w:tblGrid>
      <w:tr w:rsidR="000E6B8B" w:rsidTr="000E6B8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E6B8B" w:rsidRDefault="000E6B8B">
            <w:pPr>
              <w:pStyle w:val="s16"/>
            </w:pPr>
            <w:r>
              <w:t>Заместитель директора</w:t>
            </w:r>
            <w:r>
              <w:br/>
              <w:t>Департамента</w:t>
            </w:r>
          </w:p>
        </w:tc>
        <w:tc>
          <w:tcPr>
            <w:tcW w:w="1650" w:type="pct"/>
            <w:vAlign w:val="bottom"/>
            <w:hideMark/>
          </w:tcPr>
          <w:p w:rsidR="000E6B8B" w:rsidRDefault="000E6B8B">
            <w:pPr>
              <w:pStyle w:val="s1"/>
              <w:jc w:val="right"/>
            </w:pPr>
            <w:r>
              <w:t>Д.А. </w:t>
            </w:r>
            <w:proofErr w:type="spellStart"/>
            <w:r>
              <w:t>Готовцев</w:t>
            </w:r>
            <w:proofErr w:type="spellEnd"/>
          </w:p>
        </w:tc>
      </w:tr>
    </w:tbl>
    <w:p w:rsidR="0088608A" w:rsidRPr="000E6B8B" w:rsidRDefault="0088608A" w:rsidP="000E6B8B">
      <w:pPr>
        <w:rPr>
          <w:szCs w:val="28"/>
        </w:rPr>
      </w:pPr>
    </w:p>
    <w:sectPr w:rsidR="0088608A" w:rsidRPr="000E6B8B" w:rsidSect="007608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23AD"/>
    <w:multiLevelType w:val="hybridMultilevel"/>
    <w:tmpl w:val="0568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092"/>
    <w:rsid w:val="00021B72"/>
    <w:rsid w:val="000340AD"/>
    <w:rsid w:val="00061265"/>
    <w:rsid w:val="00064934"/>
    <w:rsid w:val="000C59B3"/>
    <w:rsid w:val="000D4EF0"/>
    <w:rsid w:val="000E5E44"/>
    <w:rsid w:val="000E6B8B"/>
    <w:rsid w:val="001078A0"/>
    <w:rsid w:val="00144ABE"/>
    <w:rsid w:val="00153983"/>
    <w:rsid w:val="001739BD"/>
    <w:rsid w:val="001A779F"/>
    <w:rsid w:val="001C0AC9"/>
    <w:rsid w:val="001E5A49"/>
    <w:rsid w:val="00210660"/>
    <w:rsid w:val="00212D75"/>
    <w:rsid w:val="00256846"/>
    <w:rsid w:val="002965CF"/>
    <w:rsid w:val="002A2632"/>
    <w:rsid w:val="002E1DCD"/>
    <w:rsid w:val="002F11A7"/>
    <w:rsid w:val="00334A53"/>
    <w:rsid w:val="00337AD3"/>
    <w:rsid w:val="00344166"/>
    <w:rsid w:val="0038012D"/>
    <w:rsid w:val="003B153C"/>
    <w:rsid w:val="00403BA1"/>
    <w:rsid w:val="0041069E"/>
    <w:rsid w:val="00425CD7"/>
    <w:rsid w:val="004700F0"/>
    <w:rsid w:val="004852A5"/>
    <w:rsid w:val="00485C70"/>
    <w:rsid w:val="004C3C37"/>
    <w:rsid w:val="004D255A"/>
    <w:rsid w:val="004F1C67"/>
    <w:rsid w:val="0052377D"/>
    <w:rsid w:val="0055788D"/>
    <w:rsid w:val="005659F6"/>
    <w:rsid w:val="00580BD8"/>
    <w:rsid w:val="0059524C"/>
    <w:rsid w:val="005B14C0"/>
    <w:rsid w:val="005C6FF6"/>
    <w:rsid w:val="005D267A"/>
    <w:rsid w:val="005E6049"/>
    <w:rsid w:val="00621A92"/>
    <w:rsid w:val="00662F0D"/>
    <w:rsid w:val="006E5092"/>
    <w:rsid w:val="006E7BD2"/>
    <w:rsid w:val="006F25C7"/>
    <w:rsid w:val="0077274E"/>
    <w:rsid w:val="0079178C"/>
    <w:rsid w:val="00794822"/>
    <w:rsid w:val="007D737B"/>
    <w:rsid w:val="007F0AD4"/>
    <w:rsid w:val="00800379"/>
    <w:rsid w:val="00816A09"/>
    <w:rsid w:val="00816C2B"/>
    <w:rsid w:val="00816D1E"/>
    <w:rsid w:val="00841AC1"/>
    <w:rsid w:val="00847DCA"/>
    <w:rsid w:val="00873C7B"/>
    <w:rsid w:val="008763F3"/>
    <w:rsid w:val="0088608A"/>
    <w:rsid w:val="008A5E7B"/>
    <w:rsid w:val="008E08A6"/>
    <w:rsid w:val="00901E46"/>
    <w:rsid w:val="009107DA"/>
    <w:rsid w:val="00911E9E"/>
    <w:rsid w:val="0092220E"/>
    <w:rsid w:val="00931E83"/>
    <w:rsid w:val="00932F8D"/>
    <w:rsid w:val="0093396F"/>
    <w:rsid w:val="009515BC"/>
    <w:rsid w:val="0095268E"/>
    <w:rsid w:val="00953375"/>
    <w:rsid w:val="009656D8"/>
    <w:rsid w:val="009709B0"/>
    <w:rsid w:val="00971FDE"/>
    <w:rsid w:val="00990CA5"/>
    <w:rsid w:val="00995D87"/>
    <w:rsid w:val="009B1524"/>
    <w:rsid w:val="009C02FC"/>
    <w:rsid w:val="009C1694"/>
    <w:rsid w:val="009E2663"/>
    <w:rsid w:val="009E5E19"/>
    <w:rsid w:val="00A02479"/>
    <w:rsid w:val="00A344AF"/>
    <w:rsid w:val="00AA021F"/>
    <w:rsid w:val="00AD1762"/>
    <w:rsid w:val="00AF2467"/>
    <w:rsid w:val="00AF45D9"/>
    <w:rsid w:val="00B072B9"/>
    <w:rsid w:val="00B15BB6"/>
    <w:rsid w:val="00B2232C"/>
    <w:rsid w:val="00B41BE0"/>
    <w:rsid w:val="00B56CDB"/>
    <w:rsid w:val="00B670F0"/>
    <w:rsid w:val="00B97B81"/>
    <w:rsid w:val="00BD189F"/>
    <w:rsid w:val="00BE1315"/>
    <w:rsid w:val="00C40099"/>
    <w:rsid w:val="00C63462"/>
    <w:rsid w:val="00C75EEF"/>
    <w:rsid w:val="00C87007"/>
    <w:rsid w:val="00CE5216"/>
    <w:rsid w:val="00D03CE6"/>
    <w:rsid w:val="00D119C5"/>
    <w:rsid w:val="00D3454D"/>
    <w:rsid w:val="00D42AC0"/>
    <w:rsid w:val="00D709C3"/>
    <w:rsid w:val="00DB0139"/>
    <w:rsid w:val="00DC69AA"/>
    <w:rsid w:val="00E0406A"/>
    <w:rsid w:val="00E74BA1"/>
    <w:rsid w:val="00E84D23"/>
    <w:rsid w:val="00EB1BD4"/>
    <w:rsid w:val="00EB72B3"/>
    <w:rsid w:val="00EC15B2"/>
    <w:rsid w:val="00EF48DB"/>
    <w:rsid w:val="00F1570B"/>
    <w:rsid w:val="00F551E5"/>
    <w:rsid w:val="00FA6EA7"/>
    <w:rsid w:val="00FB4D9E"/>
    <w:rsid w:val="00FB617F"/>
    <w:rsid w:val="00FB7E48"/>
    <w:rsid w:val="00FE7131"/>
    <w:rsid w:val="00FF2F66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3"/>
  </w:style>
  <w:style w:type="paragraph" w:styleId="3">
    <w:name w:val="heading 3"/>
    <w:basedOn w:val="a"/>
    <w:link w:val="30"/>
    <w:uiPriority w:val="9"/>
    <w:qFormat/>
    <w:rsid w:val="00FB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92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34416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7D73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737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D737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709B0"/>
  </w:style>
  <w:style w:type="character" w:customStyle="1" w:styleId="30">
    <w:name w:val="Заголовок 3 Знак"/>
    <w:basedOn w:val="a0"/>
    <w:link w:val="3"/>
    <w:uiPriority w:val="9"/>
    <w:rsid w:val="00FB6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mpty">
    <w:name w:val="empty"/>
    <w:basedOn w:val="a0"/>
    <w:rsid w:val="00FB617F"/>
  </w:style>
  <w:style w:type="paragraph" w:customStyle="1" w:styleId="s3">
    <w:name w:val="s_3"/>
    <w:basedOn w:val="a"/>
    <w:rsid w:val="000E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2022-03-03T14:33:00Z</cp:lastPrinted>
  <dcterms:created xsi:type="dcterms:W3CDTF">2022-01-12T08:08:00Z</dcterms:created>
  <dcterms:modified xsi:type="dcterms:W3CDTF">2022-03-05T12:37:00Z</dcterms:modified>
</cp:coreProperties>
</file>