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6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  <w:r w:rsidRPr="00FB178F">
        <w:rPr>
          <w:b/>
          <w:spacing w:val="0"/>
          <w:sz w:val="26"/>
          <w:szCs w:val="26"/>
        </w:rPr>
        <w:t xml:space="preserve">Аналитический отчет </w:t>
      </w:r>
      <w:proofErr w:type="gramStart"/>
      <w:r w:rsidRPr="00FB178F">
        <w:rPr>
          <w:b/>
          <w:spacing w:val="0"/>
          <w:sz w:val="26"/>
          <w:szCs w:val="26"/>
        </w:rPr>
        <w:t>по</w:t>
      </w:r>
      <w:proofErr w:type="gramEnd"/>
      <w:r w:rsidRPr="00FB178F">
        <w:rPr>
          <w:b/>
          <w:spacing w:val="0"/>
          <w:sz w:val="26"/>
          <w:szCs w:val="26"/>
        </w:rPr>
        <w:t xml:space="preserve"> </w:t>
      </w:r>
    </w:p>
    <w:p w:rsidR="007A0BA8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  <w:r w:rsidRPr="00FB178F">
        <w:rPr>
          <w:b/>
          <w:spacing w:val="0"/>
          <w:sz w:val="26"/>
          <w:szCs w:val="26"/>
        </w:rPr>
        <w:t>исследованию состояния конкуренции на товарном рынке</w:t>
      </w:r>
      <w:r w:rsidR="00AF093F" w:rsidRPr="00FB178F">
        <w:rPr>
          <w:b/>
          <w:spacing w:val="0"/>
          <w:sz w:val="26"/>
          <w:szCs w:val="26"/>
        </w:rPr>
        <w:t xml:space="preserve"> </w:t>
      </w:r>
    </w:p>
    <w:p w:rsidR="00CF5036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</w:p>
    <w:p w:rsidR="00CF5036" w:rsidRPr="00FB178F" w:rsidRDefault="00CF5036" w:rsidP="00FB178F">
      <w:pPr>
        <w:pStyle w:val="Standard"/>
        <w:ind w:firstLine="709"/>
        <w:jc w:val="center"/>
        <w:rPr>
          <w:sz w:val="26"/>
          <w:szCs w:val="26"/>
          <w:lang w:val="ru-RU"/>
        </w:rPr>
      </w:pPr>
      <w:proofErr w:type="gramStart"/>
      <w:r w:rsidRPr="00FB178F">
        <w:rPr>
          <w:b/>
          <w:sz w:val="26"/>
          <w:szCs w:val="26"/>
        </w:rPr>
        <w:t>I</w:t>
      </w:r>
      <w:r w:rsidRPr="00FB178F">
        <w:rPr>
          <w:b/>
          <w:sz w:val="26"/>
          <w:szCs w:val="26"/>
          <w:lang w:val="ru-RU"/>
        </w:rPr>
        <w:t>.  Общие</w:t>
      </w:r>
      <w:proofErr w:type="gramEnd"/>
      <w:r w:rsidRPr="00FB178F">
        <w:rPr>
          <w:b/>
          <w:sz w:val="26"/>
          <w:szCs w:val="26"/>
          <w:lang w:val="ru-RU"/>
        </w:rPr>
        <w:t xml:space="preserve"> положения</w:t>
      </w:r>
    </w:p>
    <w:p w:rsidR="00CF5036" w:rsidRPr="00FB178F" w:rsidRDefault="00CF5036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</w:p>
    <w:p w:rsidR="00BE7BC6" w:rsidRDefault="00CF5036" w:rsidP="00FB178F">
      <w:pPr>
        <w:pStyle w:val="a3"/>
        <w:spacing w:before="0" w:after="0"/>
        <w:ind w:firstLine="709"/>
        <w:jc w:val="both"/>
        <w:rPr>
          <w:sz w:val="26"/>
          <w:szCs w:val="26"/>
          <w:highlight w:val="yellow"/>
          <w:lang w:val="ru-RU"/>
        </w:rPr>
      </w:pPr>
      <w:r w:rsidRPr="00FB178F">
        <w:rPr>
          <w:sz w:val="26"/>
          <w:szCs w:val="26"/>
          <w:lang w:val="ru-RU"/>
        </w:rPr>
        <w:t xml:space="preserve">Целью анализа </w:t>
      </w:r>
      <w:r w:rsidRPr="00BE7BC6">
        <w:rPr>
          <w:sz w:val="26"/>
          <w:szCs w:val="26"/>
          <w:lang w:val="ru-RU"/>
        </w:rPr>
        <w:t xml:space="preserve">является оценка изменения (возможного изменения) состояния конкуренции на товарном рынке вследствие </w:t>
      </w:r>
      <w:r w:rsidR="0071064B">
        <w:rPr>
          <w:sz w:val="26"/>
          <w:szCs w:val="26"/>
          <w:lang w:val="ru-RU"/>
        </w:rPr>
        <w:t xml:space="preserve">осуществления бездействия </w:t>
      </w:r>
    </w:p>
    <w:p w:rsidR="00BE7BC6" w:rsidRPr="0071064B" w:rsidRDefault="00B7082D" w:rsidP="0071064B">
      <w:pPr>
        <w:pStyle w:val="a3"/>
        <w:spacing w:before="0" w:after="0"/>
        <w:jc w:val="both"/>
        <w:rPr>
          <w:sz w:val="26"/>
          <w:szCs w:val="26"/>
          <w:highlight w:val="yellow"/>
          <w:lang w:val="ru-RU"/>
        </w:rPr>
      </w:pPr>
      <w:r>
        <w:rPr>
          <w:sz w:val="26"/>
          <w:szCs w:val="26"/>
          <w:lang w:val="ru-RU"/>
        </w:rPr>
        <w:t xml:space="preserve">местной </w:t>
      </w:r>
      <w:r w:rsidR="0071064B" w:rsidRPr="0071064B">
        <w:rPr>
          <w:sz w:val="26"/>
          <w:szCs w:val="26"/>
          <w:lang w:val="ru-RU"/>
        </w:rPr>
        <w:t xml:space="preserve">администрацией сельского поселения </w:t>
      </w:r>
      <w:r>
        <w:rPr>
          <w:sz w:val="26"/>
          <w:szCs w:val="26"/>
          <w:lang w:val="ru-RU"/>
        </w:rPr>
        <w:t>Малка</w:t>
      </w:r>
      <w:r w:rsidR="0071064B" w:rsidRPr="0071064B">
        <w:rPr>
          <w:sz w:val="26"/>
          <w:szCs w:val="26"/>
          <w:lang w:val="ru-RU"/>
        </w:rPr>
        <w:t xml:space="preserve"> </w:t>
      </w:r>
      <w:proofErr w:type="spellStart"/>
      <w:r w:rsidR="0071064B" w:rsidRPr="0071064B">
        <w:rPr>
          <w:sz w:val="26"/>
          <w:szCs w:val="26"/>
          <w:lang w:val="ru-RU"/>
        </w:rPr>
        <w:t>Зольского</w:t>
      </w:r>
      <w:proofErr w:type="spellEnd"/>
      <w:r w:rsidR="0071064B" w:rsidRPr="0071064B">
        <w:rPr>
          <w:sz w:val="26"/>
          <w:szCs w:val="26"/>
          <w:lang w:val="ru-RU"/>
        </w:rPr>
        <w:t xml:space="preserve"> муниципального района Кабардино-Балкарской Республики</w:t>
      </w:r>
      <w:r w:rsidR="0071064B">
        <w:rPr>
          <w:sz w:val="26"/>
          <w:szCs w:val="26"/>
          <w:lang w:val="ru-RU"/>
        </w:rPr>
        <w:t xml:space="preserve">, выражающегося в </w:t>
      </w:r>
      <w:r w:rsidR="0071064B" w:rsidRPr="0071064B">
        <w:rPr>
          <w:color w:val="000000" w:themeColor="text1"/>
          <w:sz w:val="26"/>
          <w:szCs w:val="26"/>
          <w:lang w:val="ru-RU"/>
        </w:rPr>
        <w:t>непринятии мер по возврату переданного обществу с ограниченной ответственностью «</w:t>
      </w:r>
      <w:r>
        <w:rPr>
          <w:color w:val="000000" w:themeColor="text1"/>
          <w:sz w:val="26"/>
          <w:szCs w:val="26"/>
          <w:lang w:val="ru-RU"/>
        </w:rPr>
        <w:t>Гарант</w:t>
      </w:r>
      <w:r w:rsidR="0071064B" w:rsidRPr="0071064B">
        <w:rPr>
          <w:color w:val="000000" w:themeColor="text1"/>
          <w:sz w:val="26"/>
          <w:szCs w:val="26"/>
          <w:lang w:val="ru-RU"/>
        </w:rPr>
        <w:t>» объектов водоснабжения</w:t>
      </w:r>
      <w:r w:rsidR="0071064B">
        <w:rPr>
          <w:color w:val="000000" w:themeColor="text1"/>
          <w:sz w:val="26"/>
          <w:szCs w:val="26"/>
          <w:lang w:val="ru-RU"/>
        </w:rPr>
        <w:t>.</w:t>
      </w:r>
    </w:p>
    <w:p w:rsidR="00CF5036" w:rsidRPr="00FB178F" w:rsidRDefault="00A325F1" w:rsidP="00FB178F">
      <w:pPr>
        <w:pStyle w:val="a3"/>
        <w:spacing w:before="0" w:after="0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Настоящий анализ рынка проводится в рамках рассмотрения дела №007/01/15-</w:t>
      </w:r>
      <w:r w:rsidR="00A633A1" w:rsidRPr="00A633A1">
        <w:rPr>
          <w:sz w:val="26"/>
          <w:szCs w:val="26"/>
          <w:lang w:val="ru-RU"/>
        </w:rPr>
        <w:t>54</w:t>
      </w:r>
      <w:r w:rsidR="00B7082D">
        <w:rPr>
          <w:sz w:val="26"/>
          <w:szCs w:val="26"/>
          <w:lang w:val="ru-RU"/>
        </w:rPr>
        <w:t>8</w:t>
      </w:r>
      <w:r w:rsidR="00A633A1">
        <w:rPr>
          <w:sz w:val="26"/>
          <w:szCs w:val="26"/>
          <w:lang w:val="ru-RU"/>
        </w:rPr>
        <w:t>/202</w:t>
      </w:r>
      <w:r w:rsidR="00A633A1" w:rsidRPr="00A633A1">
        <w:rPr>
          <w:sz w:val="26"/>
          <w:szCs w:val="26"/>
          <w:lang w:val="ru-RU"/>
        </w:rPr>
        <w:t>3</w:t>
      </w:r>
      <w:r w:rsidRPr="00FB178F">
        <w:rPr>
          <w:sz w:val="26"/>
          <w:szCs w:val="26"/>
          <w:lang w:val="ru-RU"/>
        </w:rPr>
        <w:t>.</w:t>
      </w:r>
    </w:p>
    <w:p w:rsidR="00FB178F" w:rsidRPr="00FB178F" w:rsidRDefault="00FB178F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Порядок предоставления земельных участков, перехода прав в отношении земельного участка регулируется следующими нормативными правовыми актами:</w:t>
      </w:r>
    </w:p>
    <w:p w:rsidR="00FB178F" w:rsidRDefault="00BE7BC6" w:rsidP="00FB178F">
      <w:pPr>
        <w:pStyle w:val="Standard"/>
        <w:ind w:firstLine="709"/>
        <w:jc w:val="both"/>
        <w:rPr>
          <w:bCs/>
          <w:sz w:val="26"/>
          <w:szCs w:val="26"/>
          <w:lang w:val="ru-RU"/>
        </w:rPr>
      </w:pPr>
      <w:r w:rsidRPr="0071064B">
        <w:rPr>
          <w:bCs/>
          <w:sz w:val="26"/>
          <w:szCs w:val="26"/>
          <w:lang w:val="ru-RU"/>
        </w:rPr>
        <w:t xml:space="preserve"> </w:t>
      </w:r>
      <w:r w:rsidR="00FB178F" w:rsidRPr="0071064B">
        <w:rPr>
          <w:bCs/>
          <w:sz w:val="26"/>
          <w:szCs w:val="26"/>
          <w:lang w:val="ru-RU"/>
        </w:rPr>
        <w:t>«Гражданский кодекс Российской Федерации (часть первая)» от 30.11.1994 №51-ФЗ</w:t>
      </w:r>
      <w:r w:rsidRPr="0071064B">
        <w:rPr>
          <w:bCs/>
          <w:sz w:val="26"/>
          <w:szCs w:val="26"/>
          <w:lang w:val="ru-RU"/>
        </w:rPr>
        <w:t>;</w:t>
      </w:r>
    </w:p>
    <w:p w:rsidR="00BE7BC6" w:rsidRDefault="00BE7BC6" w:rsidP="00FB178F">
      <w:pPr>
        <w:pStyle w:val="Standard"/>
        <w:ind w:firstLine="709"/>
        <w:jc w:val="both"/>
        <w:rPr>
          <w:bCs/>
          <w:sz w:val="26"/>
          <w:szCs w:val="26"/>
          <w:lang w:val="ru-RU"/>
        </w:rPr>
      </w:pPr>
      <w:r w:rsidRPr="00BE7BC6">
        <w:rPr>
          <w:bCs/>
          <w:sz w:val="26"/>
          <w:szCs w:val="26"/>
          <w:lang w:val="ru-RU"/>
        </w:rPr>
        <w:t xml:space="preserve">Федеральный закон от 07.12.2011 </w:t>
      </w:r>
      <w:r>
        <w:rPr>
          <w:bCs/>
          <w:sz w:val="26"/>
          <w:szCs w:val="26"/>
          <w:lang w:val="ru-RU"/>
        </w:rPr>
        <w:t>№</w:t>
      </w:r>
      <w:r w:rsidRPr="00BE7BC6">
        <w:rPr>
          <w:bCs/>
          <w:sz w:val="26"/>
          <w:szCs w:val="26"/>
          <w:lang w:val="ru-RU"/>
        </w:rPr>
        <w:t xml:space="preserve">416-ФЗ </w:t>
      </w:r>
      <w:r>
        <w:rPr>
          <w:bCs/>
          <w:sz w:val="26"/>
          <w:szCs w:val="26"/>
          <w:lang w:val="ru-RU"/>
        </w:rPr>
        <w:t>«О водоснабжении и водоотведении»;</w:t>
      </w:r>
    </w:p>
    <w:p w:rsidR="00BE7BC6" w:rsidRDefault="00BE7BC6" w:rsidP="00FB178F">
      <w:pPr>
        <w:pStyle w:val="Standard"/>
        <w:ind w:firstLine="709"/>
        <w:jc w:val="both"/>
        <w:rPr>
          <w:bCs/>
          <w:sz w:val="26"/>
          <w:szCs w:val="26"/>
          <w:lang w:val="ru-RU"/>
        </w:rPr>
      </w:pPr>
      <w:r w:rsidRPr="00BE7BC6">
        <w:rPr>
          <w:bCs/>
          <w:sz w:val="26"/>
          <w:szCs w:val="26"/>
          <w:lang w:val="ru-RU"/>
        </w:rPr>
        <w:t xml:space="preserve">Федеральный закон от 26.07.2006 </w:t>
      </w:r>
      <w:r>
        <w:rPr>
          <w:bCs/>
          <w:sz w:val="26"/>
          <w:szCs w:val="26"/>
          <w:lang w:val="ru-RU"/>
        </w:rPr>
        <w:t>№</w:t>
      </w:r>
      <w:r w:rsidRPr="00BE7BC6">
        <w:rPr>
          <w:bCs/>
          <w:sz w:val="26"/>
          <w:szCs w:val="26"/>
          <w:lang w:val="ru-RU"/>
        </w:rPr>
        <w:t xml:space="preserve">135-ФЗ </w:t>
      </w:r>
      <w:r>
        <w:rPr>
          <w:bCs/>
          <w:sz w:val="26"/>
          <w:szCs w:val="26"/>
          <w:lang w:val="ru-RU"/>
        </w:rPr>
        <w:t>«О защите конкуренции»</w:t>
      </w:r>
      <w:r w:rsidR="0071064B">
        <w:rPr>
          <w:bCs/>
          <w:sz w:val="26"/>
          <w:szCs w:val="26"/>
          <w:lang w:val="ru-RU"/>
        </w:rPr>
        <w:t>.</w:t>
      </w:r>
    </w:p>
    <w:p w:rsidR="00BE7BC6" w:rsidRPr="00FB178F" w:rsidRDefault="00BE7BC6" w:rsidP="00FB178F">
      <w:pPr>
        <w:pStyle w:val="Standard"/>
        <w:ind w:firstLine="709"/>
        <w:jc w:val="both"/>
        <w:rPr>
          <w:bCs/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autoSpaceDE w:val="0"/>
        <w:ind w:firstLine="709"/>
        <w:jc w:val="center"/>
        <w:rPr>
          <w:sz w:val="26"/>
          <w:szCs w:val="26"/>
          <w:lang w:val="ru-RU"/>
        </w:rPr>
      </w:pPr>
      <w:r w:rsidRPr="00FB178F">
        <w:rPr>
          <w:b/>
          <w:sz w:val="26"/>
          <w:szCs w:val="26"/>
        </w:rPr>
        <w:t>II</w:t>
      </w:r>
      <w:r w:rsidRPr="00FB178F">
        <w:rPr>
          <w:b/>
          <w:sz w:val="26"/>
          <w:szCs w:val="26"/>
          <w:lang w:val="ru-RU"/>
        </w:rPr>
        <w:t>. Временной интервал исследования товарного рынка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Default="00BE7BC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BE7BC6">
        <w:rPr>
          <w:sz w:val="26"/>
          <w:szCs w:val="26"/>
          <w:lang w:val="ru-RU"/>
        </w:rPr>
        <w:t>Временной интервал исследования товарного рынка определен периодом с 01.0</w:t>
      </w:r>
      <w:r w:rsidR="00B7082D">
        <w:rPr>
          <w:sz w:val="26"/>
          <w:szCs w:val="26"/>
          <w:lang w:val="ru-RU"/>
        </w:rPr>
        <w:t>7</w:t>
      </w:r>
      <w:r w:rsidRPr="00BE7BC6">
        <w:rPr>
          <w:sz w:val="26"/>
          <w:szCs w:val="26"/>
          <w:lang w:val="ru-RU"/>
        </w:rPr>
        <w:t>.202</w:t>
      </w:r>
      <w:r w:rsidR="00B7082D">
        <w:rPr>
          <w:sz w:val="26"/>
          <w:szCs w:val="26"/>
          <w:lang w:val="ru-RU"/>
        </w:rPr>
        <w:t>2</w:t>
      </w:r>
      <w:r w:rsidRPr="00BE7BC6">
        <w:rPr>
          <w:sz w:val="26"/>
          <w:szCs w:val="26"/>
          <w:lang w:val="ru-RU"/>
        </w:rPr>
        <w:t xml:space="preserve"> г. по </w:t>
      </w:r>
      <w:r w:rsidR="00B7082D">
        <w:rPr>
          <w:sz w:val="26"/>
          <w:szCs w:val="26"/>
          <w:lang w:val="ru-RU"/>
        </w:rPr>
        <w:t>01</w:t>
      </w:r>
      <w:r w:rsidRPr="00BE7BC6">
        <w:rPr>
          <w:sz w:val="26"/>
          <w:szCs w:val="26"/>
          <w:lang w:val="ru-RU"/>
        </w:rPr>
        <w:t>.</w:t>
      </w:r>
      <w:r w:rsidR="00B7082D">
        <w:rPr>
          <w:sz w:val="26"/>
          <w:szCs w:val="26"/>
          <w:lang w:val="ru-RU"/>
        </w:rPr>
        <w:t>07</w:t>
      </w:r>
      <w:r w:rsidRPr="00BE7BC6">
        <w:rPr>
          <w:sz w:val="26"/>
          <w:szCs w:val="26"/>
          <w:lang w:val="ru-RU"/>
        </w:rPr>
        <w:t>.202</w:t>
      </w:r>
      <w:r w:rsidR="00B7082D">
        <w:rPr>
          <w:sz w:val="26"/>
          <w:szCs w:val="26"/>
          <w:lang w:val="ru-RU"/>
        </w:rPr>
        <w:t>3</w:t>
      </w:r>
      <w:r w:rsidRPr="00BE7BC6">
        <w:rPr>
          <w:sz w:val="26"/>
          <w:szCs w:val="26"/>
          <w:lang w:val="ru-RU"/>
        </w:rPr>
        <w:t xml:space="preserve"> г.</w:t>
      </w:r>
    </w:p>
    <w:p w:rsidR="00BE7BC6" w:rsidRPr="00FB178F" w:rsidRDefault="00BE7BC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  <w:r w:rsidRPr="00FB178F">
        <w:rPr>
          <w:b/>
          <w:sz w:val="26"/>
          <w:szCs w:val="26"/>
        </w:rPr>
        <w:t>III</w:t>
      </w:r>
      <w:r w:rsidRPr="00FB178F">
        <w:rPr>
          <w:b/>
          <w:sz w:val="26"/>
          <w:szCs w:val="26"/>
          <w:lang w:val="ru-RU"/>
        </w:rPr>
        <w:t xml:space="preserve">. Продуктовые границы </w:t>
      </w:r>
      <w:r w:rsidR="00AF093F" w:rsidRPr="00FB178F">
        <w:rPr>
          <w:b/>
          <w:sz w:val="26"/>
          <w:szCs w:val="26"/>
          <w:lang w:val="ru-RU"/>
        </w:rPr>
        <w:t xml:space="preserve">товарного </w:t>
      </w:r>
      <w:r w:rsidRPr="00FB178F">
        <w:rPr>
          <w:b/>
          <w:sz w:val="26"/>
          <w:szCs w:val="26"/>
          <w:lang w:val="ru-RU"/>
        </w:rPr>
        <w:t xml:space="preserve">рынка </w:t>
      </w:r>
    </w:p>
    <w:p w:rsidR="00AF093F" w:rsidRPr="00FB178F" w:rsidRDefault="00AF093F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</w:p>
    <w:p w:rsidR="00BF20F8" w:rsidRDefault="00BF20F8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  <w:r w:rsidRPr="00BF20F8">
        <w:rPr>
          <w:sz w:val="26"/>
          <w:szCs w:val="26"/>
          <w:lang w:val="ru-RU"/>
        </w:rPr>
        <w:t>На исследуемом товарном рынке под товаром понимается объект гражданских прав (в том числе работа, услуга, включая финансовую услугу), предназначенный для продажи, обмена или иного введения в оборот. Таким образом, предоставление права владения и (или) пользования муниципальным имуществом – объектами водоснабжения может рассматриваться как товар.</w:t>
      </w:r>
    </w:p>
    <w:p w:rsidR="00BF20F8" w:rsidRPr="00FB178F" w:rsidRDefault="00BF20F8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r w:rsidRPr="00FB178F">
        <w:rPr>
          <w:b/>
          <w:bCs/>
          <w:sz w:val="26"/>
          <w:szCs w:val="26"/>
        </w:rPr>
        <w:t>IV</w:t>
      </w:r>
      <w:r w:rsidRPr="00FB178F">
        <w:rPr>
          <w:b/>
          <w:bCs/>
          <w:sz w:val="26"/>
          <w:szCs w:val="26"/>
          <w:lang w:val="ru-RU"/>
        </w:rPr>
        <w:t xml:space="preserve">. Географические границы </w:t>
      </w:r>
      <w:r w:rsidR="00AF093F" w:rsidRPr="00FB178F">
        <w:rPr>
          <w:b/>
          <w:bCs/>
          <w:sz w:val="26"/>
          <w:szCs w:val="26"/>
          <w:lang w:val="ru-RU"/>
        </w:rPr>
        <w:t xml:space="preserve">товарного </w:t>
      </w:r>
      <w:r w:rsidRPr="00FB178F">
        <w:rPr>
          <w:b/>
          <w:bCs/>
          <w:sz w:val="26"/>
          <w:szCs w:val="26"/>
          <w:lang w:val="ru-RU"/>
        </w:rPr>
        <w:t xml:space="preserve">рынка </w:t>
      </w:r>
    </w:p>
    <w:p w:rsidR="00AF093F" w:rsidRPr="00FB178F" w:rsidRDefault="00AF093F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Географические границы товарного рынка определяют территорию, на которой покупатель имеет экономическую и технологическую возможность приобрести, а продавец реализовать рассматриваемый товар.</w:t>
      </w:r>
    </w:p>
    <w:p w:rsidR="00A325F1" w:rsidRPr="00FB178F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 xml:space="preserve">В соответствии с подпунктом «в» пункта  10.7 Приказ ФАС России от 28.04.2010 №220 «Об утверждении </w:t>
      </w:r>
      <w:proofErr w:type="gramStart"/>
      <w:r w:rsidRPr="00FB178F">
        <w:rPr>
          <w:sz w:val="26"/>
          <w:szCs w:val="26"/>
          <w:lang w:val="ru-RU"/>
        </w:rPr>
        <w:t>Порядка проведения анализа состояния конкуренции</w:t>
      </w:r>
      <w:proofErr w:type="gramEnd"/>
      <w:r w:rsidRPr="00FB178F">
        <w:rPr>
          <w:sz w:val="26"/>
          <w:szCs w:val="26"/>
          <w:lang w:val="ru-RU"/>
        </w:rPr>
        <w:t xml:space="preserve"> на товарном рынке» при определении географических границ могут приниматься во внимание, в частности:</w:t>
      </w:r>
    </w:p>
    <w:p w:rsidR="00A325F1" w:rsidRPr="00FB178F" w:rsidRDefault="00A325F1" w:rsidP="00B7082D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 xml:space="preserve">– границы территории, на которой осуществляют свои полномочия соответствующие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</w:t>
      </w:r>
      <w:r w:rsidR="00B7082D">
        <w:rPr>
          <w:sz w:val="26"/>
          <w:szCs w:val="26"/>
          <w:lang w:val="ru-RU"/>
        </w:rPr>
        <w:t>о</w:t>
      </w:r>
      <w:r w:rsidRPr="00FB178F">
        <w:rPr>
          <w:sz w:val="26"/>
          <w:szCs w:val="26"/>
          <w:lang w:val="ru-RU"/>
        </w:rPr>
        <w:t>рганизации, организации, участвующие в предоставлении государственных или муниципальных услуг, а также государственные внебюджетные фонды, Центральный банк Российской Федерации;</w:t>
      </w:r>
    </w:p>
    <w:p w:rsidR="00A325F1" w:rsidRPr="00FB178F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lastRenderedPageBreak/>
        <w:t>– границы территорий, на которых действуют хозяйствующие субъекты, на деятельность которых оказали или могли оказать негативное влияние соответствующие акты, действия (бездействие);</w:t>
      </w:r>
    </w:p>
    <w:p w:rsidR="00A325F1" w:rsidRPr="00FB178F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– границы территорий, на которые поставляется товар и с которых поставляется товар;</w:t>
      </w:r>
    </w:p>
    <w:p w:rsidR="00CF5036" w:rsidRDefault="00BE7BC6" w:rsidP="00FB178F">
      <w:pPr>
        <w:pStyle w:val="Standard"/>
        <w:ind w:firstLine="709"/>
        <w:jc w:val="both"/>
        <w:rPr>
          <w:rFonts w:eastAsiaTheme="minorHAnsi" w:cs="Times New Roman"/>
          <w:kern w:val="0"/>
          <w:sz w:val="26"/>
          <w:szCs w:val="26"/>
          <w:lang w:val="ru-RU" w:bidi="ar-SA"/>
        </w:rPr>
      </w:pPr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Географические границы товарного рынка: границы территории, на которой осуществляет свои полномочия </w:t>
      </w:r>
      <w:r w:rsidR="00B7082D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местная </w:t>
      </w:r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администрация сельского поселения </w:t>
      </w:r>
      <w:r w:rsidR="00B7082D">
        <w:rPr>
          <w:rFonts w:eastAsiaTheme="minorHAnsi" w:cs="Times New Roman"/>
          <w:kern w:val="0"/>
          <w:sz w:val="26"/>
          <w:szCs w:val="26"/>
          <w:lang w:val="ru-RU" w:bidi="ar-SA"/>
        </w:rPr>
        <w:t>Малка</w:t>
      </w:r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</w:t>
      </w:r>
      <w:proofErr w:type="spellStart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>Зольского</w:t>
      </w:r>
      <w:proofErr w:type="spellEnd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муниципального района Кабардино-Балкарской Республики, т.е. границы муниципального образования – </w:t>
      </w:r>
      <w:r w:rsidR="00B7082D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местной </w:t>
      </w:r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администрации сельского поселения </w:t>
      </w:r>
      <w:r w:rsidR="00B7082D">
        <w:rPr>
          <w:rFonts w:eastAsiaTheme="minorHAnsi" w:cs="Times New Roman"/>
          <w:kern w:val="0"/>
          <w:sz w:val="26"/>
          <w:szCs w:val="26"/>
          <w:lang w:val="ru-RU" w:bidi="ar-SA"/>
        </w:rPr>
        <w:t>Малка</w:t>
      </w:r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</w:t>
      </w:r>
      <w:proofErr w:type="spellStart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>Зольского</w:t>
      </w:r>
      <w:proofErr w:type="spellEnd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муниципального района Кабардино-Балкарской Республики.</w:t>
      </w:r>
    </w:p>
    <w:p w:rsidR="00616E30" w:rsidRPr="00FB178F" w:rsidRDefault="00616E30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936CA1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proofErr w:type="gramStart"/>
      <w:r>
        <w:rPr>
          <w:b/>
          <w:bCs/>
          <w:sz w:val="26"/>
          <w:szCs w:val="26"/>
        </w:rPr>
        <w:t>V</w:t>
      </w:r>
      <w:r w:rsidR="00CF5036" w:rsidRPr="00FB178F">
        <w:rPr>
          <w:b/>
          <w:bCs/>
          <w:sz w:val="26"/>
          <w:szCs w:val="26"/>
          <w:lang w:val="ru-RU"/>
        </w:rPr>
        <w:t>. Выводы и рекомендации.</w:t>
      </w:r>
      <w:proofErr w:type="gramEnd"/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D22C43" w:rsidRPr="00FB178F" w:rsidRDefault="00D22C4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FB178F">
        <w:rPr>
          <w:spacing w:val="0"/>
          <w:sz w:val="26"/>
          <w:szCs w:val="26"/>
        </w:rPr>
        <w:t>В соответствии с пунктом 7 статьи 4 Закона о защите конкуренции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BE7BC6" w:rsidRDefault="00BE7BC6" w:rsidP="00BE7BC6">
      <w:pPr>
        <w:pStyle w:val="Standard"/>
        <w:ind w:firstLine="709"/>
        <w:jc w:val="both"/>
        <w:rPr>
          <w:rFonts w:eastAsiaTheme="minorHAnsi" w:cs="Times New Roman"/>
          <w:kern w:val="0"/>
          <w:sz w:val="26"/>
          <w:szCs w:val="26"/>
          <w:lang w:val="ru-RU" w:bidi="ar-SA"/>
        </w:rPr>
      </w:pPr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>Объекты централизованных систем холодного водоснабжения могли быть предметом конкурса на право заключения договора аренды, безвозмездного пользования, или иного договора.</w:t>
      </w:r>
    </w:p>
    <w:p w:rsidR="00BE7BC6" w:rsidRPr="00BE7BC6" w:rsidRDefault="00BE7BC6" w:rsidP="00BE7BC6">
      <w:pPr>
        <w:pStyle w:val="Standard"/>
        <w:ind w:firstLine="709"/>
        <w:jc w:val="both"/>
        <w:rPr>
          <w:rFonts w:eastAsiaTheme="minorHAnsi" w:cs="Times New Roman"/>
          <w:kern w:val="0"/>
          <w:sz w:val="26"/>
          <w:szCs w:val="26"/>
          <w:lang w:val="ru-RU" w:bidi="ar-SA"/>
        </w:rPr>
      </w:pPr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Согласно правовой позиции Высшего Арбитражного Суда Российской Федерации в постановлении от 05.04.2011 №14686/10 достаточным основанием для вывода о нарушении части 1 статьи 15 Закона о защите конкуренции является создание условий, возможности для наступления последствий в виде недопущения, ограничения либо устранения конкуренции. </w:t>
      </w:r>
      <w:proofErr w:type="gramStart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В тех случаях, когда требуется проведение конкурса, подразумевающее состязательность хозяйствующих субъектов, его </w:t>
      </w:r>
      <w:proofErr w:type="spellStart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>непроведение</w:t>
      </w:r>
      <w:proofErr w:type="spellEnd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>, за исключением случаев, допускаемых законом, не может не влиять на конкуренцию, поскольку лишь при публичном объявлении конкурса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право ведения деятельности на нем.</w:t>
      </w:r>
      <w:proofErr w:type="gramEnd"/>
    </w:p>
    <w:p w:rsidR="00BE7BC6" w:rsidRPr="00BE7BC6" w:rsidRDefault="00BE7BC6" w:rsidP="00BE7BC6">
      <w:pPr>
        <w:pStyle w:val="Standard"/>
        <w:ind w:firstLine="709"/>
        <w:jc w:val="both"/>
        <w:rPr>
          <w:rFonts w:eastAsiaTheme="minorHAnsi" w:cs="Times New Roman"/>
          <w:kern w:val="0"/>
          <w:sz w:val="26"/>
          <w:szCs w:val="26"/>
          <w:lang w:val="ru-RU" w:bidi="ar-SA"/>
        </w:rPr>
      </w:pPr>
      <w:proofErr w:type="gramStart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>Передача государственного или муниципального имущества без проведения конкурса конкретному хозяйствующему субъекту в аренду, безвозмездное пользование, концессию или иному договору в случаях, когда законодательством предписано обязательное проведение конкурентных процедур, создает для конкретного субъекта преимущественные условия в получении указанного имущества во временное владение и (или) пользование и препятствует доступу к государственному или муниципальному ресурсу неопределенного круга лиц, которые также могут иметь намерение</w:t>
      </w:r>
      <w:proofErr w:type="gramEnd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приобрести указанные права в отношении государственного или муниципального имущества.</w:t>
      </w:r>
    </w:p>
    <w:p w:rsidR="00CF5036" w:rsidRPr="00FB178F" w:rsidRDefault="00BE7BC6" w:rsidP="00BE7BC6">
      <w:pPr>
        <w:pStyle w:val="Standard"/>
        <w:ind w:firstLine="709"/>
        <w:jc w:val="both"/>
        <w:rPr>
          <w:sz w:val="26"/>
          <w:szCs w:val="26"/>
          <w:lang w:val="ru-RU"/>
        </w:rPr>
      </w:pPr>
      <w:proofErr w:type="gramStart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>В связи с бездействием, выражающимся в непринятии мер по возврату переданного обществу с ограниченной ответственностью «</w:t>
      </w:r>
      <w:r w:rsidR="00B7082D">
        <w:rPr>
          <w:rFonts w:eastAsiaTheme="minorHAnsi" w:cs="Times New Roman"/>
          <w:kern w:val="0"/>
          <w:sz w:val="26"/>
          <w:szCs w:val="26"/>
          <w:lang w:val="ru-RU" w:bidi="ar-SA"/>
        </w:rPr>
        <w:t>Гарант</w:t>
      </w:r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» объектов водоснабжения, распоряжение которыми в осуществляется с особенностями, установленными статьей 41.1 Федерального закона от 07.12.2011 №416-ФЗ «О водоснабжении и водоотведении» (необходимость проведения конкурентных процедур при их предоставлении), </w:t>
      </w:r>
      <w:r w:rsidR="00B7082D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местной </w:t>
      </w:r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администрацией сельского поселения </w:t>
      </w:r>
      <w:r w:rsidR="00B7082D">
        <w:rPr>
          <w:rFonts w:eastAsiaTheme="minorHAnsi" w:cs="Times New Roman"/>
          <w:kern w:val="0"/>
          <w:sz w:val="26"/>
          <w:szCs w:val="26"/>
          <w:lang w:val="ru-RU" w:bidi="ar-SA"/>
        </w:rPr>
        <w:t>Малка</w:t>
      </w:r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</w:t>
      </w:r>
      <w:proofErr w:type="spellStart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>Зольского</w:t>
      </w:r>
      <w:proofErr w:type="spellEnd"/>
      <w:r w:rsidRPr="00BE7BC6">
        <w:rPr>
          <w:rFonts w:eastAsiaTheme="minorHAnsi" w:cs="Times New Roman"/>
          <w:kern w:val="0"/>
          <w:sz w:val="26"/>
          <w:szCs w:val="26"/>
          <w:lang w:val="ru-RU" w:bidi="ar-SA"/>
        </w:rPr>
        <w:t xml:space="preserve"> муниципального района Кабардино-Балкарской Республики ограничена конкуренция.</w:t>
      </w:r>
      <w:proofErr w:type="gramEnd"/>
    </w:p>
    <w:sectPr w:rsidR="00CF5036" w:rsidRPr="00FB178F" w:rsidSect="00936C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3586"/>
    <w:multiLevelType w:val="multilevel"/>
    <w:tmpl w:val="036E0D9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036"/>
    <w:rsid w:val="000305AF"/>
    <w:rsid w:val="002B0342"/>
    <w:rsid w:val="002D6F08"/>
    <w:rsid w:val="003B3F78"/>
    <w:rsid w:val="00402EEC"/>
    <w:rsid w:val="00450638"/>
    <w:rsid w:val="00453FBA"/>
    <w:rsid w:val="00483BF6"/>
    <w:rsid w:val="004E23E0"/>
    <w:rsid w:val="00512B84"/>
    <w:rsid w:val="0053248B"/>
    <w:rsid w:val="005B2CFE"/>
    <w:rsid w:val="005C0919"/>
    <w:rsid w:val="00616E30"/>
    <w:rsid w:val="00627170"/>
    <w:rsid w:val="00641DC8"/>
    <w:rsid w:val="006C456A"/>
    <w:rsid w:val="0070769D"/>
    <w:rsid w:val="0071064B"/>
    <w:rsid w:val="007232D5"/>
    <w:rsid w:val="00750688"/>
    <w:rsid w:val="0079198A"/>
    <w:rsid w:val="007A0BA8"/>
    <w:rsid w:val="00936CA1"/>
    <w:rsid w:val="00A325F1"/>
    <w:rsid w:val="00A633A1"/>
    <w:rsid w:val="00AF093F"/>
    <w:rsid w:val="00B5435F"/>
    <w:rsid w:val="00B7082D"/>
    <w:rsid w:val="00BE3C25"/>
    <w:rsid w:val="00BE7BC6"/>
    <w:rsid w:val="00BF20F8"/>
    <w:rsid w:val="00C300AF"/>
    <w:rsid w:val="00CF30F0"/>
    <w:rsid w:val="00CF5036"/>
    <w:rsid w:val="00D11B70"/>
    <w:rsid w:val="00D22C43"/>
    <w:rsid w:val="00D605CB"/>
    <w:rsid w:val="00D93251"/>
    <w:rsid w:val="00E61526"/>
    <w:rsid w:val="00F50664"/>
    <w:rsid w:val="00FB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03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spacing w:val="0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CF5036"/>
    <w:pPr>
      <w:spacing w:before="280" w:after="280"/>
    </w:pPr>
  </w:style>
  <w:style w:type="paragraph" w:styleId="a4">
    <w:name w:val="List Paragraph"/>
    <w:basedOn w:val="Standard"/>
    <w:rsid w:val="00CF5036"/>
    <w:pPr>
      <w:ind w:left="720"/>
    </w:pPr>
  </w:style>
  <w:style w:type="paragraph" w:customStyle="1" w:styleId="TableContents">
    <w:name w:val="Table Contents"/>
    <w:basedOn w:val="Standard"/>
    <w:rsid w:val="00CF5036"/>
    <w:pPr>
      <w:suppressLineNumbers/>
    </w:pPr>
  </w:style>
  <w:style w:type="numbering" w:customStyle="1" w:styleId="WW8Num10">
    <w:name w:val="WW8Num10"/>
    <w:basedOn w:val="a2"/>
    <w:rsid w:val="00CF503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to07-kodzokov</dc:creator>
  <cp:lastModifiedBy>to07-kodzokov</cp:lastModifiedBy>
  <cp:revision>12</cp:revision>
  <cp:lastPrinted>2023-01-30T13:12:00Z</cp:lastPrinted>
  <dcterms:created xsi:type="dcterms:W3CDTF">2023-01-26T07:42:00Z</dcterms:created>
  <dcterms:modified xsi:type="dcterms:W3CDTF">2023-07-27T07:13:00Z</dcterms:modified>
</cp:coreProperties>
</file>