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Заголовок 1"/>
        <w:spacing w:before="0" w:after="0"/>
        <w:jc w:val="center"/>
        <w:rPr>
          <w:color w:val="000000"/>
          <w:sz w:val="29"/>
          <w:szCs w:val="29"/>
          <w:u w:color="000000"/>
        </w:rPr>
      </w:pPr>
      <w:r>
        <w:rPr>
          <w:color w:val="000000"/>
          <w:sz w:val="29"/>
          <w:szCs w:val="29"/>
          <w:u w:color="000000"/>
          <w:rtl w:val="0"/>
          <w:lang w:val="ru-RU"/>
        </w:rPr>
        <w:t xml:space="preserve">   Анализ состояния конкурентной среды</w:t>
      </w:r>
    </w:p>
    <w:p>
      <w:pPr>
        <w:pStyle w:val="Заголовок 1"/>
        <w:spacing w:before="0" w:after="0"/>
        <w:jc w:val="center"/>
        <w:rPr>
          <w:color w:val="000000"/>
          <w:sz w:val="29"/>
          <w:szCs w:val="29"/>
          <w:u w:color="000000"/>
        </w:rPr>
      </w:pPr>
      <w:r>
        <w:rPr>
          <w:color w:val="000000"/>
          <w:sz w:val="29"/>
          <w:szCs w:val="29"/>
          <w:u w:color="000000"/>
          <w:rtl w:val="0"/>
          <w:lang w:val="ru-RU"/>
        </w:rPr>
        <w:t>на розничном рынке дизельного топлива в Кабардино</w:t>
      </w:r>
      <w:r>
        <w:rPr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Балкарской Республике за период с  </w:t>
      </w:r>
      <w:r>
        <w:rPr>
          <w:color w:val="000000"/>
          <w:sz w:val="29"/>
          <w:szCs w:val="29"/>
          <w:u w:color="000000"/>
          <w:rtl w:val="0"/>
          <w:lang w:val="ru-RU"/>
        </w:rPr>
        <w:t>01.01.2017</w:t>
      </w:r>
      <w:r>
        <w:rPr>
          <w:color w:val="000000"/>
          <w:sz w:val="29"/>
          <w:szCs w:val="29"/>
          <w:u w:color="000000"/>
          <w:rtl w:val="0"/>
          <w:lang w:val="ru-RU"/>
        </w:rPr>
        <w:t>г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. 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по </w:t>
      </w:r>
      <w:r>
        <w:rPr>
          <w:color w:val="000000"/>
          <w:sz w:val="29"/>
          <w:szCs w:val="29"/>
          <w:u w:color="000000"/>
          <w:rtl w:val="0"/>
          <w:lang w:val="ru-RU"/>
        </w:rPr>
        <w:t>31.12.2017</w:t>
      </w:r>
      <w:r>
        <w:rPr>
          <w:color w:val="000000"/>
          <w:sz w:val="29"/>
          <w:szCs w:val="29"/>
          <w:u w:color="000000"/>
          <w:rtl w:val="0"/>
          <w:lang w:val="ru-RU"/>
        </w:rPr>
        <w:t>г</w:t>
      </w:r>
      <w:r>
        <w:rPr>
          <w:color w:val="000000"/>
          <w:sz w:val="29"/>
          <w:szCs w:val="29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jc w:val="both"/>
      </w:pPr>
    </w:p>
    <w:p>
      <w:pPr>
        <w:pStyle w:val="Основной текст"/>
        <w:spacing w:after="0"/>
        <w:jc w:val="both"/>
      </w:pPr>
    </w:p>
    <w:p>
      <w:pPr>
        <w:pStyle w:val="Основной текст"/>
        <w:spacing w:after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        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Нальчик</w:t>
      </w:r>
    </w:p>
    <w:p>
      <w:pPr>
        <w:pStyle w:val="Основной текст"/>
        <w:jc w:val="center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</w:p>
    <w:p>
      <w:pPr>
        <w:pStyle w:val="Основной текст"/>
        <w:spacing w:after="0"/>
        <w:ind w:firstLine="735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Исследование розничного рынка дизельного топлива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проведено в соответствии с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05.12.2016 </w:t>
      </w:r>
      <w:r>
        <w:rPr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1718/16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2017-2018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годы» и заданием ФАС России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методические указания по подготовке аналитического отчета о состоянии конкурентной среды на розничных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Анализ розничного рынка дизельного топлива составлен в соответствии с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28.04.2010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«Об утверждении порядка проведения анализа состояния конкуренции на товарном рынке»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Порядок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pacing w:val="-6"/>
          <w:sz w:val="28"/>
          <w:szCs w:val="28"/>
          <w:rtl w:val="0"/>
          <w:lang w:val="ru-RU"/>
        </w:rPr>
        <w:t>Целью проведения анализа конкуренции на розничных рынках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дизельного топлива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является установление доминирующего положения вертикально интегрированных нефтяных компаний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 – ВИНК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региональных рынках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 проведении </w:t>
      </w:r>
      <w:r>
        <w:rPr>
          <w:spacing w:val="-6"/>
          <w:sz w:val="28"/>
          <w:szCs w:val="28"/>
          <w:rtl w:val="0"/>
          <w:lang w:val="ru-RU"/>
        </w:rPr>
        <w:t xml:space="preserve">анализа конкуренции на розничных рынках 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дизельного топлива  источниками исходной информации были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предоставленные органами местного самоуправления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представленные участниками рынка об объемах розничной реализации нефтепродуктов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>.;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другая информация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</w:t>
      </w:r>
    </w:p>
    <w:p>
      <w:pPr>
        <w:pStyle w:val="Основной текст"/>
        <w:spacing w:after="60"/>
        <w:ind w:firstLine="709"/>
        <w:jc w:val="both"/>
        <w:rPr>
          <w:sz w:val="16"/>
          <w:szCs w:val="16"/>
        </w:rPr>
      </w:pP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 определяется в зависимости от целей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особенностей товарного рынка  и доступности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2.2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исследование ограничивается изучением характеристик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сложились до момента проведения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проводится ретроспективный анализ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2.4 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все характеристики товарного рынка определяются в пределах одного установленного временного интервала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Временной интервал исследования состояния конкурентной среды на розничных рынках дизельного топлива  с учетом всех вышеперечисленных пунктов Порядка определен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05.12.2016 </w:t>
      </w:r>
      <w:r>
        <w:rPr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1718/16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2017-2018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годы» как период с 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Продуктовые границы рынка</w:t>
      </w:r>
    </w:p>
    <w:p>
      <w:pPr>
        <w:pStyle w:val="Основной текст"/>
        <w:spacing w:after="60"/>
        <w:ind w:firstLine="709"/>
        <w:jc w:val="both"/>
        <w:rPr>
          <w:sz w:val="16"/>
          <w:szCs w:val="16"/>
        </w:rPr>
      </w:pP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Пунктом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Технического регламента «О требованиях к автомобильному и авиационному бензину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дизельному и судовому топливу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топливу для реактивных двигателей и топочному мазуту»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постановлением Правительства РФ от </w:t>
      </w:r>
      <w:r>
        <w:rPr>
          <w:sz w:val="28"/>
          <w:szCs w:val="28"/>
          <w:rtl w:val="0"/>
          <w:lang w:val="ru-RU"/>
        </w:rPr>
        <w:t xml:space="preserve">27.02.2008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118, </w:t>
      </w:r>
      <w:r>
        <w:rPr>
          <w:sz w:val="28"/>
          <w:szCs w:val="28"/>
          <w:rtl w:val="0"/>
          <w:lang w:val="ru-RU"/>
        </w:rPr>
        <w:t xml:space="preserve">дано понятие «дизельное топливо»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жидкое топливо для использования в двигателях с воспламенением от сжатия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Согласно Общероссийскому классификатору видов экономической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принятому постановлением Государственного комитета РФ по стандартизации и метрологии от </w:t>
      </w:r>
      <w:r>
        <w:rPr>
          <w:sz w:val="28"/>
          <w:szCs w:val="28"/>
          <w:rtl w:val="0"/>
          <w:lang w:val="ru-RU"/>
        </w:rPr>
        <w:t xml:space="preserve">06.11.2001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454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розничная торговля дизельным топливом классифицирована в группе </w:t>
      </w:r>
      <w:r>
        <w:rPr>
          <w:sz w:val="28"/>
          <w:szCs w:val="28"/>
          <w:rtl w:val="0"/>
          <w:lang w:val="ru-RU"/>
        </w:rPr>
        <w:t xml:space="preserve">50.50 </w:t>
      </w:r>
      <w:r>
        <w:rPr>
          <w:sz w:val="28"/>
          <w:szCs w:val="28"/>
          <w:rtl w:val="0"/>
          <w:lang w:val="ru-RU"/>
        </w:rPr>
        <w:t>«Розничная торговля моторным топливом»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Дизельное топливо предназначено для двигателей внутреннего сгорания с  воспламенением рабочей смеси от сжатия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дизелей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ГОСТ по дизельному топливу определяет область применения дизельного топлива как моторное топливо для дизельных и газотурбинных двигателей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51866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2002</w:t>
      </w:r>
      <w:r>
        <w:rPr>
          <w:sz w:val="28"/>
          <w:szCs w:val="28"/>
          <w:rtl w:val="0"/>
          <w:lang w:val="ru-RU"/>
        </w:rPr>
        <w:t>» «Настоящий стандарт распространяется на топливо для быстроходных дизельных и газотурбинных двигателей</w:t>
      </w:r>
      <w:r>
        <w:rPr>
          <w:sz w:val="28"/>
          <w:szCs w:val="28"/>
          <w:rtl w:val="0"/>
          <w:lang w:val="ru-RU"/>
        </w:rPr>
        <w:t>...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зависимости от условий применения дизельного топлива ГОСТ</w:t>
      </w:r>
      <w:r>
        <w:rPr>
          <w:sz w:val="28"/>
          <w:szCs w:val="28"/>
          <w:rtl w:val="0"/>
          <w:lang w:val="ru-RU"/>
        </w:rPr>
        <w:t>305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82 </w:t>
      </w:r>
      <w:r>
        <w:rPr>
          <w:sz w:val="28"/>
          <w:szCs w:val="28"/>
          <w:rtl w:val="0"/>
          <w:lang w:val="ru-RU"/>
        </w:rPr>
        <w:t>устанавливает три марки дизельного топлива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летнее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— рекомендуемое для эксплуатации при температуре окружающего воздуха 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С и выше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зимнее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>20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 xml:space="preserve">С и выше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температура застывания топлива не выше минус </w:t>
      </w:r>
      <w:r>
        <w:rPr>
          <w:sz w:val="28"/>
          <w:szCs w:val="28"/>
          <w:rtl w:val="0"/>
          <w:lang w:val="ru-RU"/>
        </w:rPr>
        <w:t>35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минус </w:t>
      </w:r>
      <w:r>
        <w:rPr>
          <w:sz w:val="28"/>
          <w:szCs w:val="28"/>
          <w:rtl w:val="0"/>
          <w:lang w:val="ru-RU"/>
        </w:rPr>
        <w:t>30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 xml:space="preserve">С и выше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температура застывания топлива не выше минус </w:t>
      </w:r>
      <w:r>
        <w:rPr>
          <w:sz w:val="28"/>
          <w:szCs w:val="28"/>
          <w:rtl w:val="0"/>
          <w:lang w:val="ru-RU"/>
        </w:rPr>
        <w:t>45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арктическое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— рекомендуемое для эксплуатации при температуре окружающего воздуха минус </w:t>
      </w:r>
      <w:r>
        <w:rPr>
          <w:sz w:val="28"/>
          <w:szCs w:val="28"/>
          <w:rtl w:val="0"/>
          <w:lang w:val="ru-RU"/>
        </w:rPr>
        <w:t>50</w:t>
      </w:r>
      <w:r>
        <w:rPr>
          <w:sz w:val="28"/>
          <w:szCs w:val="28"/>
          <w:vertAlign w:val="superscript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С и выше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Все перечисленные марки дизельного топлива имеют одно функциональное назначение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топливо для быстроходных дизельных и газотурбинных двигателей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при переходе с марки на марку двигатели не требуют конструктивных изменений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 указанные марки дизельного оплива имеют одинаковые требования к упаковке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маркировке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хранению и транспортировке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>1510).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климатическими условиями потребления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температурой окружающей среды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сезонностью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едиными для всех потребителей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Состав продавцов и покупателей при этом также останется неизменным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дизельное топливо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реализуемое в качестве моторного топлива для автомобильных дизельных двигателей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независимо от единых для всех потребителей и продавцов изменений условий потребления представляют собой один товар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Брендированное топливо различных марок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en-US"/>
        </w:rPr>
        <w:t>Ultimate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en-US"/>
        </w:rPr>
        <w:t>Pulsar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en-US"/>
        </w:rPr>
        <w:t>V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en-US"/>
        </w:rPr>
        <w:t>Power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en-US"/>
        </w:rPr>
        <w:t>G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en-US"/>
        </w:rPr>
        <w:t>Drive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Экто и 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.) </w:t>
      </w:r>
      <w:r>
        <w:rPr>
          <w:color w:val="000000"/>
          <w:sz w:val="28"/>
          <w:szCs w:val="28"/>
          <w:u w:color="000000"/>
          <w:rtl w:val="0"/>
          <w:lang w:val="ru-RU"/>
        </w:rPr>
        <w:t>следует рассматривать как одну товарную группу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представленной хозяйствующими субъектами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все участники рынка ведут учет дизельного топлива раздельно по маркам летнее и зимнее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Общероссийским классификатором продукции по видам экономической деятельности ОК </w:t>
      </w:r>
      <w:r>
        <w:rPr>
          <w:sz w:val="28"/>
          <w:szCs w:val="28"/>
          <w:rtl w:val="0"/>
          <w:lang w:val="ru-RU"/>
        </w:rPr>
        <w:t>034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2014 (</w:t>
      </w:r>
      <w:r>
        <w:rPr>
          <w:sz w:val="28"/>
          <w:szCs w:val="28"/>
          <w:rtl w:val="0"/>
          <w:lang w:val="ru-RU"/>
        </w:rPr>
        <w:t xml:space="preserve">КПЕС </w:t>
      </w:r>
      <w:r>
        <w:rPr>
          <w:sz w:val="28"/>
          <w:szCs w:val="28"/>
          <w:rtl w:val="0"/>
          <w:lang w:val="ru-RU"/>
        </w:rPr>
        <w:t>2008) (</w:t>
      </w:r>
      <w:r>
        <w:rPr>
          <w:sz w:val="28"/>
          <w:szCs w:val="28"/>
          <w:rtl w:val="0"/>
          <w:lang w:val="ru-RU"/>
        </w:rPr>
        <w:t xml:space="preserve">дата введения </w:t>
      </w:r>
      <w:r>
        <w:rPr>
          <w:sz w:val="28"/>
          <w:szCs w:val="28"/>
          <w:rtl w:val="0"/>
          <w:lang w:val="ru-RU"/>
        </w:rPr>
        <w:t xml:space="preserve">01.02.2014 </w:t>
      </w:r>
      <w:r>
        <w:rPr>
          <w:sz w:val="28"/>
          <w:szCs w:val="28"/>
          <w:rtl w:val="0"/>
          <w:lang w:val="ru-RU"/>
        </w:rPr>
        <w:t>с правом досрочного применения в правоотношениях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возникших с </w:t>
      </w:r>
      <w:r>
        <w:rPr>
          <w:sz w:val="28"/>
          <w:szCs w:val="28"/>
          <w:rtl w:val="0"/>
          <w:lang w:val="ru-RU"/>
        </w:rPr>
        <w:t xml:space="preserve">01.01.2014), </w:t>
      </w:r>
      <w:r>
        <w:rPr>
          <w:sz w:val="28"/>
          <w:szCs w:val="28"/>
          <w:rtl w:val="0"/>
          <w:lang w:val="ru-RU"/>
        </w:rPr>
        <w:t xml:space="preserve">нефтепродукты относятся к подгруппе </w:t>
      </w:r>
      <w:r>
        <w:rPr>
          <w:sz w:val="28"/>
          <w:szCs w:val="28"/>
          <w:rtl w:val="0"/>
          <w:lang w:val="ru-RU"/>
        </w:rPr>
        <w:t xml:space="preserve">19.20.2 </w:t>
      </w:r>
      <w:r>
        <w:rPr>
          <w:sz w:val="28"/>
          <w:szCs w:val="28"/>
          <w:rtl w:val="0"/>
          <w:lang w:val="ru-RU"/>
        </w:rPr>
        <w:t>«Топливо жидкое и газообразное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масла смазочные»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включающей вид </w:t>
      </w:r>
      <w:r>
        <w:rPr>
          <w:sz w:val="28"/>
          <w:szCs w:val="28"/>
          <w:rtl w:val="0"/>
          <w:lang w:val="ru-RU"/>
        </w:rPr>
        <w:t xml:space="preserve">19.20.21 </w:t>
      </w:r>
      <w:r>
        <w:rPr>
          <w:sz w:val="28"/>
          <w:szCs w:val="28"/>
          <w:rtl w:val="0"/>
          <w:lang w:val="ru-RU"/>
        </w:rPr>
        <w:t>«Топливо моторное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включая автомобильный и авиационный бензин» с категорией </w:t>
      </w:r>
      <w:r>
        <w:rPr>
          <w:sz w:val="28"/>
          <w:szCs w:val="28"/>
          <w:rtl w:val="0"/>
          <w:lang w:val="ru-RU"/>
        </w:rPr>
        <w:t xml:space="preserve">19.20.21.300 </w:t>
      </w:r>
      <w:r>
        <w:rPr>
          <w:sz w:val="28"/>
          <w:szCs w:val="28"/>
          <w:rtl w:val="0"/>
          <w:lang w:val="ru-RU"/>
        </w:rPr>
        <w:t>«Топливо дизельное»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rtl w:val="0"/>
          <w:lang w:val="ru-RU"/>
        </w:rPr>
        <w:t xml:space="preserve">28.12.2009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>381-</w:t>
      </w:r>
      <w:r>
        <w:rPr>
          <w:sz w:val="28"/>
          <w:szCs w:val="28"/>
          <w:rtl w:val="0"/>
          <w:lang w:val="ru-RU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розничная торговля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вид торговой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связанный с приобретением и продажей товаров для использования их в личных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семейных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домашних и иных целях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связанных с осуществлением предпринимательской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Особенностью условий приобретения автомобильных бензинов при розничной реализации является фиксированные места продаж – автозаправочные станции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автозаправочные комплексы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Учитывая изложенное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розничную торговлю автомобильными бензинами и дизельным топливом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моторным топливом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можно отнести к виду </w:t>
      </w:r>
      <w:r>
        <w:rPr>
          <w:sz w:val="28"/>
          <w:szCs w:val="28"/>
          <w:rtl w:val="0"/>
          <w:lang w:val="ru-RU"/>
        </w:rPr>
        <w:t xml:space="preserve">47.30.11 </w:t>
      </w:r>
      <w:r>
        <w:rPr>
          <w:sz w:val="28"/>
          <w:szCs w:val="28"/>
          <w:rtl w:val="0"/>
          <w:lang w:val="ru-RU"/>
        </w:rPr>
        <w:t xml:space="preserve">«Торговля розничная бензином и дизельным топливом в специализированных магазинах» подгруппы </w:t>
      </w:r>
      <w:r>
        <w:rPr>
          <w:sz w:val="28"/>
          <w:szCs w:val="28"/>
          <w:rtl w:val="0"/>
          <w:lang w:val="ru-RU"/>
        </w:rPr>
        <w:t xml:space="preserve">47.30.1 </w:t>
      </w:r>
      <w:r>
        <w:rPr>
          <w:sz w:val="28"/>
          <w:szCs w:val="28"/>
          <w:rtl w:val="0"/>
          <w:lang w:val="ru-RU"/>
        </w:rPr>
        <w:t xml:space="preserve">«Торговля розничная моторным топливом в специализированных магазинах» Общероссийского классификатора видов экономической деятельности ОК </w:t>
      </w:r>
      <w:r>
        <w:rPr>
          <w:sz w:val="28"/>
          <w:szCs w:val="28"/>
          <w:rtl w:val="0"/>
          <w:lang w:val="ru-RU"/>
        </w:rPr>
        <w:t>029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2014 (</w:t>
      </w:r>
      <w:r>
        <w:rPr>
          <w:sz w:val="28"/>
          <w:szCs w:val="28"/>
          <w:rtl w:val="0"/>
          <w:lang w:val="ru-RU"/>
        </w:rPr>
        <w:t>КДЕС ред</w:t>
      </w:r>
      <w:r>
        <w:rPr>
          <w:sz w:val="28"/>
          <w:szCs w:val="28"/>
          <w:rtl w:val="0"/>
          <w:lang w:val="ru-RU"/>
        </w:rPr>
        <w:t>. 2) (</w:t>
      </w:r>
      <w:r>
        <w:rPr>
          <w:sz w:val="28"/>
          <w:szCs w:val="28"/>
          <w:rtl w:val="0"/>
          <w:lang w:val="ru-RU"/>
        </w:rPr>
        <w:t xml:space="preserve">дата введения </w:t>
      </w:r>
      <w:r>
        <w:rPr>
          <w:sz w:val="28"/>
          <w:szCs w:val="28"/>
          <w:rtl w:val="0"/>
          <w:lang w:val="ru-RU"/>
        </w:rPr>
        <w:t xml:space="preserve">01.02.2014 </w:t>
      </w:r>
      <w:r>
        <w:rPr>
          <w:sz w:val="28"/>
          <w:szCs w:val="28"/>
          <w:rtl w:val="0"/>
          <w:lang w:val="ru-RU"/>
        </w:rPr>
        <w:t>с правом досрочного применения в правоотношениях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возникших с </w:t>
      </w:r>
      <w:r>
        <w:rPr>
          <w:sz w:val="28"/>
          <w:szCs w:val="28"/>
          <w:rtl w:val="0"/>
          <w:lang w:val="ru-RU"/>
        </w:rPr>
        <w:t>01.01.2014).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Вместе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автомобильные бензины и дизельное топливо сходны по функциональному назначению и предназначены для использования в качестве моторного топлива для двигателей внутреннего сгорания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Несмотря на это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конструктивные особенности бензиновых и дизельных двигателей исключают использование автомобильных бензинов в качестве моторного топлива для дизельных двигателей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использование дизельного топлива в качестве моторного топлива для бензиновых двигателей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Замена бензинового двигателя дизельным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наоборот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технически сложна и требует значительных экономических затрат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связи с этим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автомобильные бензины и дизельное топливо не являются взаимозаменяемым товаром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наоборот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функциональному назначению заменителями моторного топлива в целом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автомобильных бензинов и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можно считать сжиженный углеводородный газ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однако готовность приобретателя заменить один товар на другой обусловлена ограниченным количеством автогазозаправочных станций и необходимостью переоборудования автомобильных двигателей на газобаллонное оборудование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также требует значительных капитальных вложений приобретателем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Нельзя не учитывать тот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изложенного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целей данного исследования продуктовые границы определены как дизельное топливо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реализуемое через фиксированные места продаж – автозаправочные станции 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автозаправочные комплексы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АЗС</w:t>
      </w:r>
      <w:r>
        <w:rPr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color w:val="000000"/>
          <w:sz w:val="28"/>
          <w:szCs w:val="28"/>
          <w:u w:color="000000"/>
          <w:rtl w:val="0"/>
          <w:lang w:val="ru-RU"/>
        </w:rPr>
        <w:t>АЗК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IV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Географические границы товарного рынка</w:t>
      </w:r>
    </w:p>
    <w:p>
      <w:pPr>
        <w:pStyle w:val="Основной текст"/>
        <w:spacing w:after="60"/>
        <w:ind w:firstLine="709"/>
        <w:jc w:val="center"/>
        <w:rPr>
          <w:sz w:val="16"/>
          <w:szCs w:val="16"/>
        </w:rPr>
      </w:pP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4.1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процедура определения географических границ рынка включает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предварительное определение географических границ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выявление условий обращения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ограничивающих экономические возможности приобретения товара покупателем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покупателями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определение  территорий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входящих в географические границы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Географические границы товарного рынка определяются согласно антимонопольному законодательству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исходя из экономической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технической или иной возможности либо целесообразности приобретателя приобрести товар на данной территории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Исходя из территориальной фиксированности автозаправочных станций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основными ограничениями экономической возможности приобретения дизельного топлива потребителем являются расположение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расстояние до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маршрут следования до АЗС и транспортные расходы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связанные с поиском и приобретением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Специфика свойств товара определяет тот факт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потребители сами едут на АЗС для его приобретения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заправки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точки зрения экономической возможности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целесообразности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розничного покупателя обязательно следует учитывать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на поездку до АЗС для заправки автомобиля необходимо затратить определенное количество автомобильного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Дальность поездки имеет существенное значение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так как это связано с дополнительным расходом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денежных средств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времени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Географические границы товарного рынка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это территория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которой покупатели из выделенной группы имеют экономическую возможность приобрести рассматриваемый товар и не имеют такой возможности за пределами этой территории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покупатели считают товар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продаваемый в одном регионе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заменителем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продаваемого в другом регионе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тогда эти регионы можно рассматривать как один и тот же географический рынок данного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Для розничной реализации дизельного топлива  требуются автозаправочные станции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располагаются на той или иной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Через территорию всей Республики проходит дорога федерального значения 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-29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«Кавказ» протяженностью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111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 протяжении всей дороги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-29 </w:t>
      </w:r>
      <w:r>
        <w:rPr>
          <w:color w:val="000000"/>
          <w:sz w:val="28"/>
          <w:szCs w:val="28"/>
          <w:u w:color="000000"/>
          <w:rtl w:val="0"/>
          <w:lang w:val="ru-RU"/>
        </w:rPr>
        <w:t>«Кавказ»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через каждые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7-8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местами 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3-5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размещены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осуществляющие розничную реализацию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 территории КБР  во всех населенных пунктах  с численностью населения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1500 </w:t>
      </w:r>
      <w:r>
        <w:rPr>
          <w:color w:val="000000"/>
          <w:sz w:val="28"/>
          <w:szCs w:val="28"/>
          <w:u w:color="000000"/>
          <w:rtl w:val="0"/>
          <w:lang w:val="ru-RU"/>
        </w:rPr>
        <w:t>человек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расположены АЗС осуществляющие розничную реализацию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в сельских поселениях с меньшей численностью населения автозаправочные станции по розничной реализации нефтепродуктов располагаются на расстоянии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4-5 </w:t>
      </w:r>
      <w:r>
        <w:rPr>
          <w:color w:val="000000"/>
          <w:sz w:val="28"/>
          <w:szCs w:val="28"/>
          <w:u w:color="000000"/>
          <w:rtl w:val="0"/>
          <w:lang w:val="ru-RU"/>
        </w:rPr>
        <w:t>км в связи с высокой плотностью населения и незначительным расстоянием между населенными пунктами относящимся к большим и малым сельским поселениям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 необходимости в заправке автотранспорта дизельным топливом и отсутствия АЗС на пути следования или в данном населенном пункте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водитель из любого населенного пункта  может пополнить запас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преодолев расстояние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4-5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Учитывая средний расход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9-10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литров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100 </w:t>
      </w:r>
      <w:r>
        <w:rPr>
          <w:color w:val="000000"/>
          <w:sz w:val="28"/>
          <w:szCs w:val="28"/>
          <w:u w:color="000000"/>
          <w:rtl w:val="0"/>
          <w:lang w:val="ru-RU"/>
        </w:rPr>
        <w:t>км пути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следования к ближайшей заправке в границах рассматриваемого регионального рынка топлива и возвращения обратно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потребителю будет необходимо дополнительно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>литра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при текущей средней цене на дизельное топливо   составит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35-37 </w:t>
      </w:r>
      <w:r>
        <w:rPr>
          <w:color w:val="000000"/>
          <w:sz w:val="28"/>
          <w:szCs w:val="28"/>
          <w:u w:color="000000"/>
          <w:rtl w:val="0"/>
          <w:lang w:val="ru-RU"/>
        </w:rPr>
        <w:t>рублей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Учитывая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водители заправляют в среднем при разовой заправке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10-20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литров  топлива 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наиболее распространенный объем  единовременного приобретения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покупателю придется понести дополнительные расходы в размере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10% </w:t>
      </w:r>
      <w:r>
        <w:rPr>
          <w:color w:val="000000"/>
          <w:sz w:val="28"/>
          <w:szCs w:val="28"/>
          <w:u w:color="000000"/>
          <w:rtl w:val="0"/>
          <w:lang w:val="ru-RU"/>
        </w:rPr>
        <w:t>от его стоимости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 потенциального покупателя имеется возможность приобретения товара в любой точке своего нахождения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без существенных затрат на    поиск ближайшей автозаправочной станции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цены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на дизельное топливо у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занимающихся розничной реализацией дизельного топлива и конкурирующих между собой равны или  различаются несущественно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пределах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10% </w:t>
      </w:r>
      <w:r>
        <w:rPr>
          <w:color w:val="000000"/>
          <w:sz w:val="28"/>
          <w:szCs w:val="28"/>
          <w:u w:color="000000"/>
          <w:rtl w:val="0"/>
          <w:lang w:val="ru-RU"/>
        </w:rPr>
        <w:t>от розничной цены на дизельное топливо у конкурента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изложенного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 же в соответствии с методическими рекомендациями по проведению анализа состояния конкуренции на розничных рынках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географические границы исследуемого рынка определены административными границами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  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V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Состав хозяйствующих субъектов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действующих на товарном рынке</w:t>
      </w:r>
    </w:p>
    <w:p>
      <w:pPr>
        <w:pStyle w:val="Основной текст"/>
        <w:spacing w:after="60"/>
        <w:ind w:firstLine="709"/>
        <w:jc w:val="center"/>
        <w:rPr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Состав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действующих на рынке розничной реализации дизельного топлива определялся в соответствии с разделом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V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Продавцами на розничных рынках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хозяйствующие субъекты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осуществляющие деятельность  по розничной торговле 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дизельным топливом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на АЗС единичным количеством товара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преимущественно для личного пользования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Покупателями  на розничных рынках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являются физические и юридические лица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приобретающие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дизельное топливо </w:t>
      </w:r>
      <w:r>
        <w:rPr>
          <w:color w:val="000000"/>
          <w:sz w:val="28"/>
          <w:szCs w:val="28"/>
          <w:u w:color="000000"/>
          <w:rtl w:val="0"/>
          <w:lang w:val="ru-RU"/>
        </w:rPr>
        <w:t>единичного количества преимущественно для личного использования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данных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предоставленных органами местного самоуправления К</w:t>
      </w:r>
      <w:r>
        <w:rPr>
          <w:color w:val="000000"/>
          <w:sz w:val="28"/>
          <w:szCs w:val="28"/>
          <w:u w:color="000000"/>
          <w:rtl w:val="0"/>
          <w:lang w:val="ru-RU"/>
        </w:rPr>
        <w:t>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определено </w:t>
      </w:r>
      <w:r>
        <w:rPr>
          <w:color w:val="000000"/>
          <w:sz w:val="28"/>
          <w:szCs w:val="28"/>
          <w:u w:color="000000"/>
          <w:rtl w:val="0"/>
          <w:lang w:val="ru-RU"/>
        </w:rPr>
        <w:t>82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хозяйствующих субъектов </w:t>
      </w:r>
      <w:r>
        <w:rPr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потенциальных участников розничного рынка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то же время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фактическими участниками рынка являются организации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осуществлявшие розничную реализацию указанных видов дизельного топлива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в исследуемом периоде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  Управлением в адрес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информация о которых была представлена органми местного самоуправления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были направлены  соответствующие запросы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Ответы получены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 </w:t>
      </w:r>
      <w:r>
        <w:rPr>
          <w:color w:val="000000"/>
          <w:sz w:val="28"/>
          <w:szCs w:val="28"/>
          <w:u w:color="000000"/>
          <w:rtl w:val="0"/>
          <w:lang w:val="ru-RU"/>
        </w:rPr>
        <w:t>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имеющих возможность осуществлять реализацию </w:t>
      </w:r>
      <w:r>
        <w:rPr>
          <w:color w:val="000000"/>
          <w:sz w:val="28"/>
          <w:szCs w:val="28"/>
          <w:u w:color="000000"/>
          <w:rtl w:val="0"/>
          <w:lang w:val="ru-RU"/>
        </w:rPr>
        <w:t>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составляет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26,8% </w:t>
      </w:r>
      <w:r>
        <w:rPr>
          <w:color w:val="000000"/>
          <w:sz w:val="28"/>
          <w:szCs w:val="28"/>
          <w:u w:color="000000"/>
          <w:rtl w:val="0"/>
          <w:lang w:val="ru-RU"/>
        </w:rPr>
        <w:t>от общей совокупности потенциальных розничных операторов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Таким образом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 настоящем анализе рассмотрены ответы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22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хозяйствующих субъектов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имеющих в собственности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аренде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основании договоров оперативного управления и 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.) 90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АЗС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осуществляющих розничную реализацию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Кабардино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От оставшихся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60 </w:t>
      </w:r>
      <w:r>
        <w:rPr>
          <w:color w:val="000000"/>
          <w:sz w:val="28"/>
          <w:szCs w:val="28"/>
          <w:u w:color="000000"/>
          <w:rtl w:val="0"/>
          <w:lang w:val="ru-RU"/>
        </w:rPr>
        <w:t>хозяйствующих субъектов информация не получена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Письма с запросами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направленные почтовым отправлением по адресам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представленным органами местного самоуправления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возвращены с пометкой «Адресат не значится»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отсутствие адресатов по месту местонахождения свидетельствует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данные хозяйствующие субъекты фактически не осуществляли реализацию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При этом следует отметить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состав участников рынка розничной реализации дизельного топлива в регионе находится в процессе непрерывных быстропротекающих изменений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связанных с уходом с рынка одних и приходом других хозяйствующих субъектов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 также частой сменой прав собственности или аренды на АЗС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5.2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оличество выявленных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действующих на товарном рынке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достаточным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если выполняется любое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хотя бы одно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из следующих условий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1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выявленных хозяйствующих субъектов достаточно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подтвердить или опровергнуть гипотезу о доминирующем положении любого из 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установления влияния любого из них на состояние конкуренции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1"/>
        <w:suppressAutoHyphens w:val="0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которой обладают покупатели и продавцы на рассматриваемом товарном рынке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Следует также отметить присутствие на рынке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как ВИНКов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 и значительного количества независимых хозяйствующих субъектов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занимающих небольшие доли на указанном рынке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Обычный"/>
        <w:ind w:firstLine="709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  <w:lang w:val="en-US"/>
        </w:rPr>
        <w:t>VI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Расчет объема товарного рынка и долей хозяйствующих субъектов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рынке</w:t>
      </w:r>
    </w:p>
    <w:p>
      <w:pPr>
        <w:pStyle w:val="Обычный"/>
        <w:ind w:firstLine="709"/>
        <w:jc w:val="center"/>
      </w:pP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Расчет объема товарного рынка и долей хозяйствующих субъектов на розничном рынке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производился в соответствии с пунктом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6.1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по объему продаж в натуральном выражении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литрах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),</w:t>
      </w:r>
      <w:r>
        <w:rPr>
          <w:sz w:val="28"/>
          <w:szCs w:val="28"/>
          <w:rtl w:val="0"/>
          <w:lang w:val="ru-RU"/>
        </w:rPr>
        <w:t xml:space="preserve"> поскольку данный показатель позволяет наиболее точно охарактеризовать фактическое положение хозяйствующих субъектов на рынке с точки зрения конкуренции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Расчет объема исследуемого товарного рынка определен по данным хозяйствующих субъектов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За период с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31.12.2017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года объем продаж дизельного топлива на территории КБР всеми хозяйствующими субъектами  составил –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21315273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литра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Доля хозяйствующего субъекта на розничном рынке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рассчитывается как выраженное в процентах отношение показателя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характеризующего объем реализации данного хозяйствующего субъекта к показателю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характеризующему объем рассматриваемого рынка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Данные по расчету долей хозяйствующих субъектов в общем объеме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 товарном рынке Кабардино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Балкарской Республики представлены в Приложении №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 аналитическому отчету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результатам расчета долей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осуществляющих деятельность по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>были установлены наиболее крупные розничные продавцы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занимающие первые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позиции по объемам продаж со следующими показателями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-64,6%;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ПАО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- 19,0%;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 xml:space="preserve">ООО «Хасми» </w:t>
      </w:r>
      <w:r>
        <w:rPr>
          <w:sz w:val="28"/>
          <w:szCs w:val="28"/>
          <w:rtl w:val="0"/>
          <w:lang w:val="ru-RU"/>
        </w:rPr>
        <w:t xml:space="preserve">-6,3%.    </w:t>
      </w: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Определение уровня концентрации товарного рынка</w:t>
      </w: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widowControl w:val="1"/>
        <w:shd w:val="clear" w:color="auto" w:fill="ffffff"/>
        <w:suppressAutoHyphens w:val="0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7.1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утвержденного Приказом ФАС России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28.04.2010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220,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определения уровня концентрации рынка  розничной реализации дизельного топлива  используются  следующие показатели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widowControl w:val="1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1)</w:t>
      </w:r>
      <w:r>
        <w:rPr>
          <w:color w:val="000000"/>
          <w:sz w:val="28"/>
          <w:szCs w:val="28"/>
          <w:u w:color="000000"/>
          <w:rtl w:val="0"/>
          <w:lang w:val="ru-RU"/>
        </w:rPr>
        <w:t>  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коэффициент  рыночной концентрации С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R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  сумма долей на товарном рынке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выраженных в процентах</w:t>
      </w:r>
      <w:r>
        <w:rPr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  определенного числа крупнейших 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действующих на данном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widowControl w:val="1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2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  индекс рыночной  концентрации Герфиндаля 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Гиршмана 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HHI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сумма квадратов долей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выраженных в процентах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на товарном рынке  всех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действующих на данном рынке</w:t>
      </w:r>
      <w:r>
        <w:rPr>
          <w:rFonts w:ascii="Tahoma" w:hAnsi="Tahoma"/>
          <w:color w:val="000000"/>
          <w:sz w:val="15"/>
          <w:szCs w:val="15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расчета этих двух показателей были взяты данные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оказывающих значительное влияние на изучаемый товарный рынок и занимающих первые три позиции по объемам реализуемых марок нефтепродуктов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приведены в предыдущей главе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3180"/>
        </w:tabs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По результатам расчетов  </w:t>
      </w:r>
      <w:r>
        <w:rPr>
          <w:color w:val="000000"/>
          <w:sz w:val="28"/>
          <w:szCs w:val="28"/>
          <w:u w:color="000000"/>
          <w:rtl w:val="0"/>
          <w:lang w:val="ru-RU"/>
        </w:rPr>
        <w:t>коэффициента и индекса  рыночной концентрации были получены следующие показатели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характеризующие розничный рынок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 CR3 = 89,9,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HHI = 4573,85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Полученные показатели рыночной концентрации указывают на высокий уровень монополизации регионального рынка реализации дизельного топлива  и слабо развитую конкуренцию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Определение барьеров входа на товарный рынок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Для осуществления розничной реализации дизельного топлива необходимым условием является наличие стационарных АЗС на отведенных земельных участках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оборудованных в соответствии с нормами и правилами эксплуатации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АЗС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это пожароопасный производственный объект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его строительство и эксплуатация требует согласования с ГОЧС России и Ростехнадзором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эксплуатации АЗС необходимо получить лицензию на строительство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застраховать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зарегистрировать в государственном реестре опасных производственных объектов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непрерывно соблюдать правила технической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промышленной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пожарной безопасности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Вход на рынок розничной реализации дизельного топлива требует определенных капитальных вложений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связанных или со строительством новой АЗС или с приобретением действующей АЗС на правах собственности или аренды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накладывает определенные экономические и административные ограничения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выделение земельного участка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получение разрешения на строительство и эксплуатацию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входа на рынок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Розничные продавцы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входящие в ВИНК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испытывают в первую очередь экономические барьеры в виде нехватки оборотных средств и собственных крупных резервуаров для хранения больших запасов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чтобы снизить свою зависимость от частых изменений цен на НПЗ и перебоев в поставках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 (веб)"/>
        <w:shd w:val="clear" w:color="auto" w:fill="ffffff"/>
        <w:spacing w:before="0"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IX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Оценка состояния конкуренции на товарном рынке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Анализ  состояния конкурентной среды на розничном рынке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>показал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розничный рынок имеет высокую степень монополизации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Конкуренция не настолько высока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противодействовать ценовой политике крупнейших российских вертикально интегрированных нефтяных компаний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ефицита АЗС  на  рынке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>в Кабардино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Балкарской Республике не наблюдается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данный рынок является очень привлекательным для новых участников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У большинства  независимых операторов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участников розничных рынков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>нет необходимых финансовых ресурсов для осуществления подобных стратегий развития АЗС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Поэтому в основном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происходит развитие крупных хозяйствующих субъектов на розничном рынке дизельного топлива за счет строительства новых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модернизации старых АЗС и  поглощения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путём покупки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принадлежащих мелким участникам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не могут конкурировать в жестких условиях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Можно говорить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количество АЗС </w:t>
      </w:r>
      <w:r>
        <w:rPr>
          <w:sz w:val="28"/>
          <w:szCs w:val="28"/>
          <w:rtl w:val="0"/>
          <w:lang w:val="ru-RU"/>
        </w:rPr>
        <w:t>крупных компаний в общем количестве АЗС за исследуемый период растет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есть основания для предположения о расширении сети АЗС крупных компаний  и за счет поглощения мелких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за счет строительства новых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Состояние конкурентной среды на региональном рынке розничной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 xml:space="preserve"> на территории Кабардино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Балкарской Республики позволяет сделать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данный товарный рынок относится к категории рынков с неразвитой конкуренцией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приходом на рынок нового крупного розничного продавца в лице   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ВИНК ОАО «ЛУКОЙЛ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позиции ОАО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ВИНК ОАО «Роснефть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ООО «Хасми»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занимавшего доминирующее положение по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>были утрачены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результатам проведенного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розничном рынке реализации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дизельного топлива </w:t>
      </w:r>
      <w:r>
        <w:rPr>
          <w:sz w:val="28"/>
          <w:szCs w:val="28"/>
          <w:rtl w:val="0"/>
          <w:lang w:val="ru-RU"/>
        </w:rPr>
        <w:t xml:space="preserve">за период с </w:t>
      </w:r>
      <w:r>
        <w:rPr>
          <w:sz w:val="28"/>
          <w:szCs w:val="28"/>
          <w:rtl w:val="0"/>
          <w:lang w:val="ru-RU"/>
        </w:rPr>
        <w:t>01.01.2017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>31.12.2017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выяснилось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на данном товарном рынке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ОКВЭД </w:t>
      </w:r>
      <w:r>
        <w:rPr>
          <w:sz w:val="28"/>
          <w:szCs w:val="28"/>
          <w:rtl w:val="0"/>
          <w:lang w:val="ru-RU"/>
        </w:rPr>
        <w:t xml:space="preserve">47.30.11) </w:t>
      </w:r>
      <w:r>
        <w:rPr>
          <w:sz w:val="28"/>
          <w:szCs w:val="28"/>
          <w:rtl w:val="0"/>
          <w:lang w:val="ru-RU"/>
        </w:rPr>
        <w:t>не произошло кардинальных изменений участников рынков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 долей хозяйствующих субъектов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1"/>
        <w:spacing w:before="0" w:after="0"/>
        <w:ind w:left="0"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По результатам проведенного анализа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состояния конкурентной среды на розничном рынке 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в Кабардино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Балкарской Республике за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2017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год был определен хозяйствующий субъект занимающий доминирующее положение на этом товарном рынке в лице ООО «Лукойл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Югнефтепродукт»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</w:t>
      </w:r>
    </w:p>
    <w:p>
      <w:pPr>
        <w:pStyle w:val="Обычный"/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Начальник отдела                                                                          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Куантов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Исп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Пирогова Е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</w:pPr>
      <w:r>
        <w:rPr>
          <w:sz w:val="20"/>
          <w:szCs w:val="20"/>
          <w:rtl w:val="0"/>
          <w:lang w:val="ru-RU"/>
        </w:rPr>
        <w:t>8(8662) 409-105</w:t>
      </w:r>
    </w:p>
    <w:sectPr>
      <w:headerReference w:type="default" r:id="rId4"/>
      <w:footerReference w:type="default" r:id="rId5"/>
      <w:pgSz w:w="11900" w:h="16840" w:orient="portrait"/>
      <w:pgMar w:top="680" w:right="851" w:bottom="6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New Roman CYR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сновной текст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6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7"/>
      <w:szCs w:val="27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